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harts/chart1.xml" ContentType="application/vnd.openxmlformats-officedocument.drawingml.chart+xml"/>
  <Override PartName="/word/charts/colors1.xml" ContentType="application/vnd.ms-office.chartcolorstyle+xml"/>
  <Override PartName="/word/charts/style1.xml" ContentType="application/vnd.ms-office.chartstyle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77C1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960" w:lineRule="auto"/>
        <w:jc w:val="center"/>
        <w:textAlignment w:val="auto"/>
        <w:outlineLvl w:val="0"/>
        <w:rPr>
          <w:rFonts w:hint="default" w:cs="黑体" w:asciiTheme="minorEastAsia" w:hAnsiTheme="minorEastAsia" w:eastAsiaTheme="minorEastAsia"/>
          <w:b/>
          <w:sz w:val="52"/>
          <w:szCs w:val="52"/>
          <w:highlight w:val="none"/>
          <w:lang w:val="en-US" w:eastAsia="zh-CN"/>
        </w:rPr>
      </w:pPr>
      <w:bookmarkStart w:id="0" w:name="_Toc5350"/>
      <w:bookmarkStart w:id="1" w:name="_Toc30873"/>
      <w:bookmarkStart w:id="2" w:name="_Toc6752"/>
      <w:bookmarkStart w:id="3" w:name="_Toc22288"/>
      <w:bookmarkStart w:id="4" w:name="_Toc4930"/>
      <w:bookmarkStart w:id="5" w:name="_Toc16199"/>
      <w:bookmarkStart w:id="6" w:name="_Toc24091"/>
      <w:bookmarkStart w:id="7" w:name="_Toc11981"/>
      <w:bookmarkStart w:id="8" w:name="_Toc12987"/>
      <w:r>
        <w:rPr>
          <w:rFonts w:hint="eastAsia" w:cs="黑体" w:asciiTheme="minorEastAsia" w:hAnsiTheme="minorEastAsia" w:eastAsiaTheme="minorEastAsia"/>
          <w:b/>
          <w:sz w:val="52"/>
          <w:szCs w:val="52"/>
          <w:highlight w:val="none"/>
          <w:lang w:val="en-US" w:eastAsia="zh-CN"/>
        </w:rPr>
        <w:t>2025年度</w:t>
      </w:r>
      <w:r>
        <w:rPr>
          <w:rFonts w:hint="eastAsia" w:cs="黑体" w:asciiTheme="minorEastAsia" w:hAnsiTheme="minorEastAsia" w:eastAsiaTheme="minorEastAsia"/>
          <w:b/>
          <w:sz w:val="52"/>
          <w:szCs w:val="52"/>
          <w:highlight w:val="none"/>
        </w:rPr>
        <w:t>石家庄城市经济职业学院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</w:p>
    <w:p w14:paraId="2E234E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960" w:lineRule="auto"/>
        <w:jc w:val="center"/>
        <w:textAlignment w:val="auto"/>
        <w:outlineLvl w:val="0"/>
        <w:rPr>
          <w:rFonts w:cs="黑体" w:asciiTheme="minorEastAsia" w:hAnsiTheme="minorEastAsia" w:eastAsiaTheme="minorEastAsia"/>
          <w:b/>
          <w:sz w:val="48"/>
          <w:szCs w:val="48"/>
          <w:highlight w:val="none"/>
        </w:rPr>
      </w:pPr>
      <w:bookmarkStart w:id="9" w:name="_Toc23087"/>
      <w:bookmarkStart w:id="10" w:name="_Toc19897"/>
      <w:bookmarkStart w:id="11" w:name="_Toc22785"/>
      <w:bookmarkStart w:id="12" w:name="_Toc14717"/>
      <w:bookmarkStart w:id="13" w:name="_Toc27087"/>
      <w:r>
        <w:rPr>
          <w:rFonts w:hint="eastAsia" w:cs="黑体" w:asciiTheme="minorEastAsia" w:hAnsiTheme="minorEastAsia" w:eastAsiaTheme="minorEastAsia"/>
          <w:b/>
          <w:sz w:val="48"/>
          <w:szCs w:val="48"/>
          <w:highlight w:val="none"/>
          <w:lang w:val="en-US" w:eastAsia="zh-CN"/>
        </w:rPr>
        <w:t>毕业生就业质量</w:t>
      </w:r>
      <w:r>
        <w:rPr>
          <w:rFonts w:hint="eastAsia" w:cs="黑体" w:asciiTheme="minorEastAsia" w:hAnsiTheme="minorEastAsia" w:eastAsiaTheme="minorEastAsia"/>
          <w:b/>
          <w:sz w:val="48"/>
          <w:szCs w:val="48"/>
          <w:highlight w:val="none"/>
        </w:rPr>
        <w:t>报告</w:t>
      </w:r>
      <w:bookmarkEnd w:id="9"/>
      <w:bookmarkEnd w:id="10"/>
      <w:bookmarkEnd w:id="11"/>
      <w:bookmarkEnd w:id="12"/>
      <w:bookmarkEnd w:id="13"/>
    </w:p>
    <w:p w14:paraId="0FAF7B83">
      <w:pPr>
        <w:jc w:val="center"/>
        <w:rPr>
          <w:rFonts w:hint="eastAsia" w:cs="仿宋_GB2312" w:asciiTheme="minorEastAsia" w:hAnsiTheme="minorEastAsia" w:eastAsiaTheme="minorEastAsia"/>
          <w:sz w:val="30"/>
          <w:szCs w:val="30"/>
          <w:highlight w:val="none"/>
          <w:lang w:eastAsia="zh-CN"/>
        </w:rPr>
      </w:pPr>
      <w:r>
        <w:rPr>
          <w:rFonts w:hint="eastAsia" w:cs="仿宋_GB2312" w:asciiTheme="minorEastAsia" w:hAnsiTheme="minorEastAsia" w:eastAsiaTheme="minorEastAsia"/>
          <w:sz w:val="30"/>
          <w:szCs w:val="30"/>
          <w:highlight w:val="none"/>
          <w:lang w:eastAsia="zh-CN"/>
        </w:rPr>
        <w:drawing>
          <wp:inline distT="0" distB="0" distL="114300" distR="114300">
            <wp:extent cx="3729990" cy="3729990"/>
            <wp:effectExtent l="0" t="0" r="3810" b="3810"/>
            <wp:docPr id="8" name="图片 8" descr="3ddce7772758e7c219f10e142ffd0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ddce7772758e7c219f10e142ffd0d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2999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E81A5">
      <w:pPr>
        <w:jc w:val="both"/>
        <w:rPr>
          <w:rFonts w:cs="仿宋_GB2312" w:asciiTheme="minorEastAsia" w:hAnsiTheme="minorEastAsia" w:eastAsiaTheme="minorEastAsia"/>
          <w:sz w:val="30"/>
          <w:szCs w:val="30"/>
          <w:highlight w:val="none"/>
        </w:rPr>
      </w:pPr>
    </w:p>
    <w:p w14:paraId="39889858">
      <w:pPr>
        <w:jc w:val="both"/>
        <w:rPr>
          <w:rFonts w:cs="楷体_GB2312" w:asciiTheme="minorEastAsia" w:hAnsiTheme="minorEastAsia" w:eastAsiaTheme="minorEastAsia"/>
          <w:b/>
          <w:sz w:val="44"/>
          <w:szCs w:val="44"/>
          <w:highlight w:val="none"/>
        </w:rPr>
      </w:pPr>
    </w:p>
    <w:p w14:paraId="643B7DFC">
      <w:pPr>
        <w:jc w:val="center"/>
        <w:rPr>
          <w:rFonts w:cs="楷体_GB2312" w:asciiTheme="minorEastAsia" w:hAnsiTheme="minorEastAsia" w:eastAsiaTheme="minorEastAsia"/>
          <w:b/>
          <w:sz w:val="44"/>
          <w:szCs w:val="44"/>
          <w:highlight w:val="none"/>
        </w:rPr>
      </w:pPr>
      <w:r>
        <w:rPr>
          <w:rFonts w:hint="eastAsia" w:cs="楷体_GB2312" w:asciiTheme="minorEastAsia" w:hAnsiTheme="minorEastAsia" w:eastAsiaTheme="minorEastAsia"/>
          <w:b/>
          <w:sz w:val="44"/>
          <w:szCs w:val="44"/>
          <w:highlight w:val="none"/>
        </w:rPr>
        <w:t>202</w:t>
      </w:r>
      <w:r>
        <w:rPr>
          <w:rFonts w:hint="eastAsia" w:cs="楷体_GB2312" w:asciiTheme="minorEastAsia" w:hAnsiTheme="minorEastAsia" w:eastAsiaTheme="minorEastAsia"/>
          <w:b/>
          <w:sz w:val="44"/>
          <w:szCs w:val="44"/>
          <w:highlight w:val="none"/>
          <w:lang w:val="en-US" w:eastAsia="zh-CN"/>
        </w:rPr>
        <w:t>5</w:t>
      </w:r>
      <w:r>
        <w:rPr>
          <w:rFonts w:hint="eastAsia" w:cs="楷体_GB2312" w:asciiTheme="minorEastAsia" w:hAnsiTheme="minorEastAsia" w:eastAsiaTheme="minorEastAsia"/>
          <w:b/>
          <w:sz w:val="44"/>
          <w:szCs w:val="44"/>
          <w:highlight w:val="none"/>
        </w:rPr>
        <w:t>年12月</w:t>
      </w:r>
    </w:p>
    <w:p w14:paraId="7044B2C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Times New Roman" w:eastAsia="宋体"/>
          <w:color w:val="auto"/>
          <w:sz w:val="17"/>
          <w:lang w:eastAsia="zh-CN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sdt>
      <w:sdtPr>
        <w:rPr>
          <w:rFonts w:ascii="宋体" w:hAnsi="宋体" w:eastAsia="宋体" w:cs="PMingLiU-ExtB"/>
          <w:sz w:val="21"/>
          <w:szCs w:val="22"/>
          <w:lang w:val="zh-CN" w:eastAsia="zh-CN" w:bidi="zh-CN"/>
        </w:rPr>
        <w:id w:val="147456908"/>
        <w15:color w:val="DBDBDB"/>
        <w:docPartObj>
          <w:docPartGallery w:val="Table of Contents"/>
          <w:docPartUnique/>
        </w:docPartObj>
      </w:sdtPr>
      <w:sdtEndPr>
        <w:rPr>
          <w:rFonts w:hint="eastAsia" w:ascii="黑体" w:hAnsi="黑体" w:eastAsia="黑体" w:cs="黑体"/>
          <w:color w:val="auto"/>
          <w:sz w:val="33"/>
          <w:szCs w:val="44"/>
          <w:lang w:val="en-US" w:eastAsia="zh-CN" w:bidi="zh-CN"/>
        </w:rPr>
      </w:sdtEndPr>
      <w:sdtContent>
        <w:p w14:paraId="41F43C62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="PMingLiU-ExtB"/>
              <w:sz w:val="21"/>
              <w:szCs w:val="22"/>
              <w:lang w:val="zh-CN" w:eastAsia="zh-CN" w:bidi="zh-CN"/>
            </w:rPr>
          </w:pPr>
        </w:p>
        <w:p w14:paraId="11140418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="PMingLiU-ExtB"/>
              <w:sz w:val="21"/>
              <w:szCs w:val="22"/>
              <w:lang w:val="zh-CN" w:eastAsia="zh-CN" w:bidi="zh-CN"/>
            </w:rPr>
          </w:pPr>
        </w:p>
        <w:p w14:paraId="3DE90C9B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="PMingLiU-ExtB"/>
              <w:sz w:val="21"/>
              <w:szCs w:val="22"/>
              <w:lang w:val="zh-CN" w:eastAsia="zh-CN" w:bidi="zh-CN"/>
            </w:rPr>
          </w:pPr>
        </w:p>
        <w:p w14:paraId="182D1B32">
          <w:pPr>
            <w:keepNext w:val="0"/>
            <w:keepLines w:val="0"/>
            <w:pageBreakBefore w:val="0"/>
            <w:widowControl/>
            <w:numPr>
              <w:ilvl w:val="0"/>
              <w:numId w:val="0"/>
            </w:numPr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70" w:lineRule="exact"/>
            <w:ind w:firstLine="640" w:firstLineChars="200"/>
            <w:jc w:val="center"/>
            <w:textAlignment w:val="auto"/>
            <w:rPr>
              <w:rFonts w:hint="eastAsia" w:ascii="黑体" w:hAnsi="黑体" w:eastAsia="黑体" w:cs="黑体"/>
              <w:b w:val="0"/>
              <w:bCs/>
              <w:sz w:val="32"/>
              <w:szCs w:val="32"/>
              <w:lang w:val="en-US" w:eastAsia="zh-CN"/>
            </w:rPr>
          </w:pPr>
          <w:r>
            <w:rPr>
              <w:rFonts w:hint="eastAsia" w:ascii="黑体" w:hAnsi="黑体" w:eastAsia="黑体" w:cs="黑体"/>
              <w:b w:val="0"/>
              <w:bCs/>
              <w:sz w:val="32"/>
              <w:szCs w:val="32"/>
              <w:lang w:val="en-US" w:eastAsia="zh-CN"/>
            </w:rPr>
            <w:t>目录</w:t>
          </w:r>
        </w:p>
        <w:p w14:paraId="2CEB9A31">
          <w:pPr>
            <w:keepNext w:val="0"/>
            <w:keepLines w:val="0"/>
            <w:pageBreakBefore w:val="0"/>
            <w:widowControl/>
            <w:tabs>
              <w:tab w:val="right" w:leader="dot" w:pos="98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70" w:lineRule="exact"/>
            <w:ind w:firstLine="440" w:firstLineChars="100"/>
            <w:textAlignment w:val="auto"/>
            <w:rPr>
              <w:rFonts w:ascii="黑体" w:hAnsi="黑体" w:eastAsia="黑体" w:cs="黑体"/>
              <w:spacing w:val="-8"/>
              <w:sz w:val="25"/>
              <w:szCs w:val="25"/>
            </w:rPr>
          </w:pPr>
          <w:r>
            <w:rPr>
              <w:rFonts w:hint="eastAsia" w:ascii="黑体" w:hAnsi="黑体" w:eastAsia="黑体" w:cs="黑体"/>
              <w:color w:val="auto"/>
              <w:sz w:val="44"/>
              <w:szCs w:val="44"/>
              <w:lang w:val="en-US" w:eastAsia="zh-CN"/>
            </w:rPr>
            <w:fldChar w:fldCharType="begin"/>
          </w:r>
          <w:r>
            <w:rPr>
              <w:rFonts w:hint="eastAsia" w:ascii="黑体" w:hAnsi="黑体" w:eastAsia="黑体" w:cs="黑体"/>
              <w:color w:val="auto"/>
              <w:sz w:val="44"/>
              <w:szCs w:val="44"/>
              <w:lang w:val="en-US" w:eastAsia="zh-CN"/>
            </w:rPr>
            <w:instrText xml:space="preserve">TOC \o "1-2" \h \u </w:instrText>
          </w:r>
          <w:r>
            <w:rPr>
              <w:rFonts w:hint="eastAsia" w:ascii="黑体" w:hAnsi="黑体" w:eastAsia="黑体" w:cs="黑体"/>
              <w:color w:val="auto"/>
              <w:sz w:val="44"/>
              <w:szCs w:val="44"/>
              <w:lang w:val="en-US" w:eastAsia="zh-CN"/>
            </w:rPr>
            <w:fldChar w:fldCharType="separate"/>
          </w:r>
          <w:r>
            <w:rPr>
              <w:rFonts w:hint="eastAsia" w:ascii="黑体" w:hAnsi="黑体" w:eastAsia="黑体" w:cs="黑体"/>
              <w:sz w:val="28"/>
              <w:szCs w:val="28"/>
            </w:rPr>
            <w:fldChar w:fldCharType="begin"/>
          </w:r>
          <w:r>
            <w:rPr>
              <w:rFonts w:hint="eastAsia" w:ascii="黑体" w:hAnsi="黑体" w:eastAsia="黑体" w:cs="黑体"/>
              <w:sz w:val="28"/>
              <w:szCs w:val="28"/>
            </w:rPr>
            <w:instrText xml:space="preserve"> HYPERLINK \l "bookmark11" </w:instrText>
          </w:r>
          <w:r>
            <w:rPr>
              <w:rFonts w:hint="eastAsia" w:ascii="黑体" w:hAnsi="黑体" w:eastAsia="黑体" w:cs="黑体"/>
              <w:sz w:val="28"/>
              <w:szCs w:val="28"/>
            </w:rPr>
            <w:fldChar w:fldCharType="separate"/>
          </w:r>
          <w:r>
            <w:rPr>
              <w:rFonts w:hint="eastAsia" w:ascii="黑体" w:hAnsi="黑体" w:eastAsia="黑体" w:cs="黑体"/>
              <w:spacing w:val="8"/>
              <w:sz w:val="28"/>
              <w:szCs w:val="28"/>
            </w:rPr>
            <w:t xml:space="preserve">第二章 </w:t>
          </w:r>
          <w:r>
            <w:rPr>
              <w:rFonts w:hint="eastAsia" w:ascii="黑体" w:hAnsi="黑体" w:eastAsia="黑体" w:cs="黑体"/>
              <w:spacing w:val="8"/>
              <w:sz w:val="28"/>
              <w:szCs w:val="28"/>
              <w:lang w:val="en-US" w:eastAsia="zh-CN"/>
            </w:rPr>
            <w:t>毕业生就业概况</w:t>
          </w:r>
          <w:r>
            <w:rPr>
              <w:rFonts w:hint="eastAsia" w:ascii="黑体" w:hAnsi="黑体" w:eastAsia="黑体" w:cs="黑体"/>
              <w:spacing w:val="-35"/>
              <w:sz w:val="28"/>
              <w:szCs w:val="28"/>
            </w:rPr>
            <w:t xml:space="preserve"> </w:t>
          </w:r>
          <w:r>
            <w:rPr>
              <w:rFonts w:hint="eastAsia" w:ascii="黑体" w:hAnsi="黑体" w:eastAsia="黑体" w:cs="黑体"/>
              <w:sz w:val="28"/>
              <w:szCs w:val="28"/>
            </w:rPr>
            <w:tab/>
          </w:r>
          <w:r>
            <w:rPr>
              <w:rFonts w:hint="eastAsia" w:ascii="黑体" w:hAnsi="黑体" w:eastAsia="黑体" w:cs="黑体"/>
              <w:spacing w:val="18"/>
              <w:sz w:val="28"/>
              <w:szCs w:val="28"/>
            </w:rPr>
            <w:t xml:space="preserve"> </w:t>
          </w:r>
          <w:r>
            <w:rPr>
              <w:rFonts w:hint="eastAsia" w:ascii="黑体" w:hAnsi="黑体" w:eastAsia="黑体" w:cs="黑体"/>
              <w:spacing w:val="-8"/>
              <w:sz w:val="28"/>
              <w:szCs w:val="28"/>
              <w:lang w:val="en-US" w:eastAsia="zh-CN"/>
            </w:rPr>
            <w:t>1</w:t>
          </w:r>
          <w:r>
            <w:rPr>
              <w:rFonts w:hint="eastAsia" w:ascii="黑体" w:hAnsi="黑体" w:eastAsia="黑体" w:cs="黑体"/>
              <w:spacing w:val="-8"/>
              <w:sz w:val="28"/>
              <w:szCs w:val="28"/>
            </w:rPr>
            <w:fldChar w:fldCharType="end"/>
          </w:r>
        </w:p>
        <w:p w14:paraId="7E1C9768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"bookmark3"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一、2023 届-2025 届毕业生情况分析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1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3BA8DB22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"bookmark4"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二、2025 届毕业生基本情况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2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675D2E78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"bookmark5"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（一）按学院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2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564C9656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"bookmark6"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（二）按毕业去向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5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2E346537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"bookmark7"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（三）按单位行业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6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4FE44014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"bookmark8"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（四）按地域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8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55539CB8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"bookmark9"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（五） 自主创业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9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6EA8C719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hint="eastAsia" w:eastAsia="宋体"/>
              <w:lang w:val="en-US" w:eastAsia="zh-CN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"bookmark10"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（六）毕业生专升本升学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1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0</w:t>
          </w:r>
        </w:p>
        <w:p w14:paraId="3A67E56F">
          <w:pPr>
            <w:keepNext w:val="0"/>
            <w:keepLines w:val="0"/>
            <w:pageBreakBefore w:val="0"/>
            <w:widowControl/>
            <w:tabs>
              <w:tab w:val="right" w:leader="dot" w:pos="98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70" w:lineRule="exact"/>
            <w:ind w:firstLine="560" w:firstLineChars="200"/>
            <w:textAlignment w:val="auto"/>
            <w:rPr>
              <w:rFonts w:hint="eastAsia" w:ascii="黑体" w:hAnsi="黑体" w:eastAsia="黑体" w:cs="黑体"/>
              <w:sz w:val="28"/>
              <w:szCs w:val="28"/>
            </w:rPr>
          </w:pPr>
          <w:r>
            <w:rPr>
              <w:rFonts w:hint="eastAsia" w:ascii="黑体" w:hAnsi="黑体" w:eastAsia="黑体" w:cs="黑体"/>
              <w:sz w:val="28"/>
              <w:szCs w:val="28"/>
            </w:rPr>
            <w:fldChar w:fldCharType="begin"/>
          </w:r>
          <w:r>
            <w:rPr>
              <w:rFonts w:hint="eastAsia" w:ascii="黑体" w:hAnsi="黑体" w:eastAsia="黑体" w:cs="黑体"/>
              <w:sz w:val="28"/>
              <w:szCs w:val="28"/>
            </w:rPr>
            <w:instrText xml:space="preserve"> HYPERLINK \l "bookmark11" </w:instrText>
          </w:r>
          <w:r>
            <w:rPr>
              <w:rFonts w:hint="eastAsia" w:ascii="黑体" w:hAnsi="黑体" w:eastAsia="黑体" w:cs="黑体"/>
              <w:sz w:val="28"/>
              <w:szCs w:val="28"/>
            </w:rPr>
            <w:fldChar w:fldCharType="separate"/>
          </w:r>
          <w:r>
            <w:rPr>
              <w:rFonts w:hint="eastAsia" w:ascii="黑体" w:hAnsi="黑体" w:eastAsia="黑体" w:cs="黑体"/>
              <w:sz w:val="28"/>
              <w:szCs w:val="28"/>
            </w:rPr>
            <w:t xml:space="preserve">第二章 就业工作重点举措 </w:t>
          </w:r>
          <w:r>
            <w:rPr>
              <w:rFonts w:hint="eastAsia" w:ascii="黑体" w:hAnsi="黑体" w:eastAsia="黑体" w:cs="黑体"/>
              <w:sz w:val="28"/>
              <w:szCs w:val="28"/>
            </w:rPr>
            <w:tab/>
          </w:r>
          <w:r>
            <w:rPr>
              <w:rFonts w:hint="eastAsia" w:ascii="黑体" w:hAnsi="黑体" w:eastAsia="黑体" w:cs="黑体"/>
              <w:sz w:val="28"/>
              <w:szCs w:val="28"/>
            </w:rPr>
            <w:t xml:space="preserve"> 1</w:t>
          </w:r>
          <w:r>
            <w:rPr>
              <w:rFonts w:hint="eastAsia" w:ascii="黑体" w:hAnsi="黑体" w:eastAsia="黑体" w:cs="黑体"/>
              <w:sz w:val="28"/>
              <w:szCs w:val="28"/>
              <w:lang w:val="en-US" w:eastAsia="zh-CN"/>
            </w:rPr>
            <w:t>1</w:t>
          </w:r>
          <w:r>
            <w:rPr>
              <w:rFonts w:hint="eastAsia" w:ascii="黑体" w:hAnsi="黑体" w:eastAsia="黑体" w:cs="黑体"/>
              <w:sz w:val="28"/>
              <w:szCs w:val="28"/>
            </w:rPr>
            <w:fldChar w:fldCharType="end"/>
          </w:r>
        </w:p>
        <w:p w14:paraId="27BE64E4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"bookmark12"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一、出台就业制度体系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1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1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2F4A616F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"bookmark13"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二、毕业生就业管理规范有序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1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1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0905A3E6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"bookmark14"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（一）2025 届毕业生去向登记与核查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1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1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2F47C8F1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"bookmark15"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（二）就业状况跟踪调查与报告撰写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>1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4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51E446E4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"bookmark16"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（三）2026 届毕业生生源信息采集、困难生帮扶和去向登记培训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1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5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5807A6CC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"bookmark17"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三、就业市场拓展与校园招聘服务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1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8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3E6607C3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"bookmark18"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（一）就业市场拓展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1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8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18F36491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"bookmark19"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（二）校园双选会组织情况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2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1</w:t>
          </w:r>
        </w:p>
        <w:p w14:paraId="30633276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"bookmark20"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四、就业扶持与能力提升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3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0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6EC31A36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"bookmark21"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（一）求职补贴申领发放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3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0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0E4CA0D2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"bookmark22"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（二） 困难群体就业能力培训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 3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1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7ACF5364">
          <w:pPr>
            <w:pStyle w:val="3"/>
            <w:tabs>
              <w:tab w:val="right" w:leader="dot" w:pos="9865"/>
            </w:tabs>
            <w:kinsoku w:val="0"/>
            <w:autoSpaceDE w:val="0"/>
            <w:autoSpaceDN w:val="0"/>
            <w:adjustRightInd w:val="0"/>
            <w:snapToGrid w:val="0"/>
            <w:spacing w:before="201" w:beforeAutospacing="0" w:after="0" w:line="220" w:lineRule="auto"/>
            <w:ind w:firstLine="516" w:firstLineChars="200"/>
            <w:textAlignment w:val="baseline"/>
            <w:rPr>
              <w:rFonts w:ascii="宋体" w:hAnsi="宋体" w:eastAsia="宋体" w:cs="宋体"/>
              <w:snapToGrid w:val="0"/>
              <w:color w:val="000000"/>
              <w:spacing w:val="9"/>
              <w:sz w:val="22"/>
              <w:szCs w:val="22"/>
              <w:lang w:eastAsia="en-US" w:bidi="ar-SA"/>
            </w:rPr>
          </w:pP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begin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instrText xml:space="preserve"> HYPERLINK \l "bookmark23" </w:instrTex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separate"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 xml:space="preserve">（三） 以赛赋能 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ab/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t>3</w:t>
          </w:r>
          <w:r>
            <w:rPr>
              <w:rFonts w:hint="eastAsia"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val="en-US" w:eastAsia="zh-CN" w:bidi="ar-SA"/>
            </w:rPr>
            <w:t>4</w:t>
          </w:r>
          <w:r>
            <w:rPr>
              <w:rFonts w:ascii="宋体" w:hAnsi="宋体" w:eastAsia="宋体" w:cs="宋体"/>
              <w:snapToGrid w:val="0"/>
              <w:color w:val="000000"/>
              <w:spacing w:val="9"/>
              <w:sz w:val="24"/>
              <w:szCs w:val="24"/>
              <w:lang w:eastAsia="en-US" w:bidi="ar-SA"/>
            </w:rPr>
            <w:fldChar w:fldCharType="end"/>
          </w:r>
        </w:p>
        <w:p w14:paraId="7FE4B234">
          <w:pPr>
            <w:keepNext w:val="0"/>
            <w:keepLines w:val="0"/>
            <w:pageBreakBefore w:val="0"/>
            <w:widowControl/>
            <w:tabs>
              <w:tab w:val="right" w:leader="dot" w:pos="9870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70" w:lineRule="exact"/>
            <w:ind w:firstLine="560" w:firstLineChars="200"/>
            <w:textAlignment w:val="auto"/>
            <w:rPr>
              <w:rFonts w:hint="eastAsia" w:ascii="黑体" w:hAnsi="黑体" w:eastAsia="黑体" w:cs="黑体"/>
              <w:sz w:val="28"/>
              <w:szCs w:val="28"/>
            </w:rPr>
            <w:sectPr>
              <w:headerReference r:id="rId5" w:type="default"/>
              <w:footerReference r:id="rId6" w:type="default"/>
              <w:pgSz w:w="11906" w:h="16839"/>
              <w:pgMar w:top="1526" w:right="1250" w:bottom="1372" w:left="777" w:header="686" w:footer="1207" w:gutter="0"/>
              <w:cols w:space="720" w:num="1"/>
            </w:sectPr>
          </w:pPr>
          <w:r>
            <w:rPr>
              <w:rFonts w:hint="eastAsia" w:ascii="黑体" w:hAnsi="黑体" w:eastAsia="黑体" w:cs="黑体"/>
              <w:sz w:val="28"/>
              <w:szCs w:val="28"/>
            </w:rPr>
            <w:fldChar w:fldCharType="begin"/>
          </w:r>
          <w:r>
            <w:rPr>
              <w:rFonts w:hint="eastAsia" w:ascii="黑体" w:hAnsi="黑体" w:eastAsia="黑体" w:cs="黑体"/>
              <w:sz w:val="28"/>
              <w:szCs w:val="28"/>
            </w:rPr>
            <w:instrText xml:space="preserve"> HYPERLINK \l "bookmark24" </w:instrText>
          </w:r>
          <w:r>
            <w:rPr>
              <w:rFonts w:hint="eastAsia" w:ascii="黑体" w:hAnsi="黑体" w:eastAsia="黑体" w:cs="黑体"/>
              <w:sz w:val="28"/>
              <w:szCs w:val="28"/>
            </w:rPr>
            <w:fldChar w:fldCharType="separate"/>
          </w:r>
          <w:r>
            <w:rPr>
              <w:rFonts w:hint="eastAsia" w:ascii="黑体" w:hAnsi="黑体" w:eastAsia="黑体" w:cs="黑体"/>
              <w:sz w:val="28"/>
              <w:szCs w:val="28"/>
            </w:rPr>
            <w:t xml:space="preserve">第三章 未来与展望 </w:t>
          </w:r>
          <w:r>
            <w:rPr>
              <w:rFonts w:hint="eastAsia" w:ascii="黑体" w:hAnsi="黑体" w:eastAsia="黑体" w:cs="黑体"/>
              <w:sz w:val="28"/>
              <w:szCs w:val="28"/>
            </w:rPr>
            <w:tab/>
          </w:r>
          <w:r>
            <w:rPr>
              <w:rFonts w:hint="eastAsia" w:ascii="黑体" w:hAnsi="黑体" w:eastAsia="黑体" w:cs="黑体"/>
              <w:sz w:val="28"/>
              <w:szCs w:val="28"/>
            </w:rPr>
            <w:t xml:space="preserve"> 4</w:t>
          </w:r>
          <w:r>
            <w:rPr>
              <w:rFonts w:hint="eastAsia" w:ascii="黑体" w:hAnsi="黑体" w:eastAsia="黑体" w:cs="黑体"/>
              <w:sz w:val="28"/>
              <w:szCs w:val="28"/>
              <w:lang w:val="en-US" w:eastAsia="zh-CN"/>
            </w:rPr>
            <w:t>5</w:t>
          </w:r>
          <w:r>
            <w:rPr>
              <w:rFonts w:hint="eastAsia" w:ascii="黑体" w:hAnsi="黑体" w:eastAsia="黑体" w:cs="黑体"/>
              <w:sz w:val="28"/>
              <w:szCs w:val="28"/>
            </w:rPr>
            <w:fldChar w:fldCharType="end"/>
          </w:r>
        </w:p>
        <w:p w14:paraId="6FD2CE11">
          <w:pPr>
            <w:pStyle w:val="8"/>
            <w:spacing w:before="0" w:beforeAutospacing="0" w:after="0"/>
            <w:ind w:left="0" w:leftChars="0" w:firstLine="0" w:firstLineChars="0"/>
          </w:pPr>
          <w:r>
            <w:rPr>
              <w:rFonts w:hint="eastAsia" w:ascii="黑体" w:hAnsi="黑体" w:eastAsia="黑体" w:cs="黑体"/>
              <w:color w:val="auto"/>
              <w:szCs w:val="44"/>
              <w:lang w:val="en-US" w:eastAsia="zh-CN"/>
            </w:rPr>
            <w:fldChar w:fldCharType="end"/>
          </w:r>
        </w:p>
      </w:sdtContent>
    </w:sdt>
    <w:p w14:paraId="14BB8B3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黑体" w:hAnsi="黑体" w:eastAsia="黑体" w:cs="黑体"/>
          <w:b w:val="0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kern w:val="2"/>
          <w:sz w:val="32"/>
          <w:szCs w:val="32"/>
          <w:lang w:val="en-US" w:eastAsia="zh-CN" w:bidi="ar-SA"/>
        </w:rPr>
        <w:t>第一章 毕业生</w:t>
      </w:r>
      <w:r>
        <w:rPr>
          <w:rFonts w:hint="eastAsia" w:ascii="黑体" w:hAnsi="黑体" w:eastAsia="黑体" w:cs="黑体"/>
          <w:b w:val="0"/>
          <w:bCs/>
          <w:sz w:val="32"/>
          <w:szCs w:val="32"/>
          <w:lang w:val="en-US" w:eastAsia="zh-CN"/>
        </w:rPr>
        <w:t>就业情况</w:t>
      </w:r>
    </w:p>
    <w:p w14:paraId="5FD4D37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就业是民生之本，更是高校人才培养质量的核心检验标尺。2025 年，石家庄城市经济职业学院始终坚守 “立德树人” 根本任务，紧扣国家重大发展战略与区域产业升级需求，以高质量就业为导向，深化就业工作体制机制改革，完善 “制度保障、精准服务、能力提升、市场拓展” 四位一体就业工作体系。面对复杂多变的就业市场环境，学校聚焦毕业生核心诉求，精准对接用人单位需求，在就业政策落实、市场拓展、帮扶赋能等方面持续发力，推动毕业生就业质量稳步提升，实现了人才培养与社会需求的精准契合。本报告基于 2025 届毕业生就业数据统计与就业工作实践，全面呈现毕业生就业状况、行业分布、地域流向等核心信息，系统总结就业工作举措与成效，为后续优化人才培养方案、提升就业服务水平提供坚实依据。</w:t>
      </w:r>
    </w:p>
    <w:p w14:paraId="4EB4565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  <w:t>一、2023届-2025届毕业生情况分析</w:t>
      </w:r>
    </w:p>
    <w:p w14:paraId="606259A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石家庄城市经济职业学院2023届毕业人数为2687，就业落实人数2203，就业率为81.99%。2024届毕业人数2306，就业落实人数1951，就业率为84.61%。2025届毕业生共2663人，已经落实就业去向的学生共计2270人，总体就业率为85.24%，同比去年上涨0.63%。学生人数呈上升趋势，分布在健康医学院、经济管理学院、信息科技学院、工程技术学院、通识教育学院五个二级学院，涉及38个专业，去向落实率也在逐年提升，见表1。</w:t>
      </w:r>
    </w:p>
    <w:p w14:paraId="0F81779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2160" w:firstLineChars="900"/>
        <w:jc w:val="left"/>
        <w:textAlignment w:val="auto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bookmarkStart w:id="14" w:name="_Toc4868"/>
      <w:bookmarkStart w:id="15" w:name="_Toc8144"/>
      <w:bookmarkStart w:id="16" w:name="_Toc1303"/>
      <w:bookmarkStart w:id="17" w:name="_Toc20751"/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表1 近五年毕业生就业率分析图</w:t>
      </w:r>
      <w:bookmarkEnd w:id="14"/>
      <w:bookmarkEnd w:id="15"/>
      <w:bookmarkEnd w:id="16"/>
      <w:bookmarkEnd w:id="17"/>
    </w:p>
    <w:p w14:paraId="5AD121DB">
      <w:pPr>
        <w:pStyle w:val="8"/>
        <w:rPr>
          <w:rFonts w:hint="eastAsia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192405</wp:posOffset>
            </wp:positionH>
            <wp:positionV relativeFrom="paragraph">
              <wp:posOffset>8255</wp:posOffset>
            </wp:positionV>
            <wp:extent cx="4612005" cy="2769870"/>
            <wp:effectExtent l="0" t="0" r="17145" b="11430"/>
            <wp:wrapTight wrapText="bothSides">
              <wp:wrapPolygon>
                <wp:start x="0" y="0"/>
                <wp:lineTo x="0" y="21392"/>
                <wp:lineTo x="21502" y="21392"/>
                <wp:lineTo x="21502" y="0"/>
                <wp:lineTo x="0" y="0"/>
              </wp:wrapPolygon>
            </wp:wrapTight>
            <wp:docPr id="1" name="F35B0BEE-F18A-47BB-8FCB-E00DA2F2635D-1" descr="C:/Users/Administrator/AppData/Local/Temp/wps.BsxCSsw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35B0BEE-F18A-47BB-8FCB-E00DA2F2635D-1" descr="C:/Users/Administrator/AppData/Local/Temp/wps.BsxCSswps"/>
                    <pic:cNvPicPr>
                      <a:picLocks noChangeAspect="1"/>
                    </pic:cNvPicPr>
                  </pic:nvPicPr>
                  <pic:blipFill>
                    <a:blip r:embed="rId13"/>
                    <a:srcRect l="1208" t="1382" r="818" b="9959"/>
                    <a:stretch>
                      <a:fillRect/>
                    </a:stretch>
                  </pic:blipFill>
                  <pic:spPr>
                    <a:xfrm>
                      <a:off x="0" y="0"/>
                      <a:ext cx="4612005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33F5B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  <w:t>二、2025届毕业生基本情况</w:t>
      </w:r>
    </w:p>
    <w:p w14:paraId="6CF2347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（一）按学院</w:t>
      </w:r>
    </w:p>
    <w:p w14:paraId="06D1198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202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5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届毕业生共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2663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人。学历层次为专科。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见表2，截止至2025年12月1日，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已经落实就业去向的学生共计2270人，202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5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届毕业生总体就业率为85.24%%，同比去年上涨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0.63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%。分布工程技术学院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、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健康医学院、经济管理学院、通识教育学院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、信息科技学院五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个二级学院。其中，工程技术学院就业人数为617人，占学院总毕业人数的90.87%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；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健康医学院就业人数为431人，占学院总毕业人数的77.24%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；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经济管理学院就业人数为715人，占学院总毕业人数的84.42%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；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通识教育学院就业人数为25人，占学院总毕业人数的83.33%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；信息科技学院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就业人数为482人，占学院总毕业人数的87.80%。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其中表3为38个专业的去向落实率。</w:t>
      </w:r>
      <w:bookmarkStart w:id="18" w:name="_Toc25132"/>
      <w:bookmarkStart w:id="19" w:name="_Toc14782"/>
    </w:p>
    <w:p w14:paraId="5F9E2F0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100" w:line="570" w:lineRule="exact"/>
        <w:ind w:firstLine="480" w:firstLineChars="20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64DFDE0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100" w:line="570" w:lineRule="exact"/>
        <w:ind w:firstLine="480" w:firstLineChars="200"/>
        <w:jc w:val="center"/>
        <w:textAlignment w:val="auto"/>
        <w:outlineLvl w:val="0"/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表2 2025届毕业生落实情况表</w:t>
      </w:r>
      <w:bookmarkEnd w:id="18"/>
      <w:bookmarkEnd w:id="19"/>
    </w:p>
    <w:tbl>
      <w:tblPr>
        <w:tblStyle w:val="9"/>
        <w:tblW w:w="8519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09"/>
        <w:gridCol w:w="2209"/>
        <w:gridCol w:w="2209"/>
        <w:gridCol w:w="1892"/>
      </w:tblGrid>
      <w:tr w14:paraId="15B7DC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tblHeader/>
          <w:jc w:val="center"/>
        </w:trPr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5B9BD5" w:fill="5B9BD5"/>
            <w:noWrap/>
            <w:vAlign w:val="center"/>
          </w:tcPr>
          <w:p w14:paraId="6A971E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2" w:firstLineChars="200"/>
              <w:jc w:val="both"/>
              <w:textAlignment w:val="center"/>
              <w:outlineLvl w:val="9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各院系落实率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5B9BD5" w:fill="5B9BD5"/>
            <w:noWrap/>
            <w:vAlign w:val="center"/>
          </w:tcPr>
          <w:p w14:paraId="3AEC89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2" w:firstLineChars="200"/>
              <w:jc w:val="both"/>
              <w:textAlignment w:val="center"/>
              <w:outlineLvl w:val="9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毕业人数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5B9BD5" w:fill="5B9BD5"/>
            <w:noWrap/>
            <w:vAlign w:val="center"/>
          </w:tcPr>
          <w:p w14:paraId="270E7B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2" w:firstLineChars="200"/>
              <w:jc w:val="both"/>
              <w:textAlignment w:val="center"/>
              <w:outlineLvl w:val="9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落实人数</w:t>
            </w:r>
          </w:p>
        </w:tc>
        <w:tc>
          <w:tcPr>
            <w:tcW w:w="18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5B9BD5" w:fill="5B9BD5"/>
            <w:noWrap/>
            <w:vAlign w:val="center"/>
          </w:tcPr>
          <w:p w14:paraId="320761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center"/>
              <w:outlineLvl w:val="9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落实率</w:t>
            </w:r>
          </w:p>
        </w:tc>
      </w:tr>
      <w:tr w14:paraId="29A6E4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DDEBF7" w:fill="DDEBF7"/>
            <w:noWrap/>
            <w:vAlign w:val="center"/>
          </w:tcPr>
          <w:p w14:paraId="46A7C3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sz w:val="24"/>
                <w:szCs w:val="24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sz w:val="24"/>
                <w:szCs w:val="24"/>
                <w:highlight w:val="none"/>
                <w:lang w:val="en-US" w:eastAsia="zh-CN" w:bidi="ar"/>
              </w:rPr>
              <w:t>工程技术学院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DDEBF7" w:fill="DDEBF7"/>
            <w:noWrap/>
            <w:vAlign w:val="center"/>
          </w:tcPr>
          <w:p w14:paraId="6DFA8F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center"/>
              <w:outlineLvl w:val="9"/>
              <w:rPr>
                <w:rFonts w:hint="default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  <w:t>679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DDEBF7" w:fill="DDEBF7"/>
            <w:noWrap/>
            <w:vAlign w:val="center"/>
          </w:tcPr>
          <w:p w14:paraId="2D8776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center"/>
              <w:outlineLvl w:val="9"/>
              <w:rPr>
                <w:rFonts w:hint="default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  <w:t>617</w:t>
            </w:r>
          </w:p>
        </w:tc>
        <w:tc>
          <w:tcPr>
            <w:tcW w:w="18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DDEBF7" w:fill="DDEBF7"/>
            <w:noWrap/>
            <w:vAlign w:val="center"/>
          </w:tcPr>
          <w:p w14:paraId="5E7A1C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both"/>
              <w:textAlignment w:val="bottom"/>
              <w:outlineLvl w:val="9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  <w:t>90.87%</w:t>
            </w:r>
          </w:p>
        </w:tc>
      </w:tr>
      <w:tr w14:paraId="161505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0479F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sz w:val="24"/>
                <w:szCs w:val="24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sz w:val="24"/>
                <w:szCs w:val="24"/>
                <w:highlight w:val="none"/>
                <w:lang w:val="en-US" w:eastAsia="zh-CN" w:bidi="ar"/>
              </w:rPr>
              <w:t>健康医学院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27682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center"/>
              <w:outlineLvl w:val="9"/>
              <w:rPr>
                <w:rFonts w:hint="default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  <w:t>558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7828D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center"/>
              <w:outlineLvl w:val="9"/>
              <w:rPr>
                <w:rFonts w:hint="default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  <w:t>431</w:t>
            </w:r>
          </w:p>
        </w:tc>
        <w:tc>
          <w:tcPr>
            <w:tcW w:w="18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6A5ED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both"/>
              <w:textAlignment w:val="bottom"/>
              <w:outlineLvl w:val="9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  <w:t>77.24%</w:t>
            </w:r>
          </w:p>
        </w:tc>
      </w:tr>
      <w:tr w14:paraId="139105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DDEBF7" w:fill="DDEBF7"/>
            <w:noWrap/>
            <w:vAlign w:val="center"/>
          </w:tcPr>
          <w:p w14:paraId="4BFB7E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sz w:val="24"/>
                <w:szCs w:val="24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sz w:val="24"/>
                <w:szCs w:val="24"/>
                <w:highlight w:val="none"/>
                <w:lang w:val="en-US" w:eastAsia="zh-CN" w:bidi="ar"/>
              </w:rPr>
              <w:t>经济管理学院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DDEBF7" w:fill="DDEBF7"/>
            <w:noWrap/>
            <w:vAlign w:val="center"/>
          </w:tcPr>
          <w:p w14:paraId="5EE6BF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center"/>
              <w:outlineLvl w:val="9"/>
              <w:rPr>
                <w:rFonts w:hint="default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  <w:t>847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DDEBF7" w:fill="DDEBF7"/>
            <w:noWrap/>
            <w:vAlign w:val="center"/>
          </w:tcPr>
          <w:p w14:paraId="223842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center"/>
              <w:outlineLvl w:val="9"/>
              <w:rPr>
                <w:rFonts w:hint="default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  <w:t>715</w:t>
            </w:r>
          </w:p>
        </w:tc>
        <w:tc>
          <w:tcPr>
            <w:tcW w:w="18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DDEBF7" w:fill="DDEBF7"/>
            <w:noWrap/>
            <w:vAlign w:val="center"/>
          </w:tcPr>
          <w:p w14:paraId="50673F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both"/>
              <w:textAlignment w:val="bottom"/>
              <w:outlineLvl w:val="9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  <w:t>84.42%</w:t>
            </w:r>
          </w:p>
        </w:tc>
      </w:tr>
      <w:tr w14:paraId="22858E5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D7D73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sz w:val="24"/>
                <w:szCs w:val="24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sz w:val="24"/>
                <w:szCs w:val="24"/>
                <w:highlight w:val="none"/>
                <w:lang w:val="en-US" w:eastAsia="zh-CN" w:bidi="ar"/>
              </w:rPr>
              <w:t>通识教育学院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D80AF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center"/>
              <w:outlineLvl w:val="9"/>
              <w:rPr>
                <w:rFonts w:hint="default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  <w:t>30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ED260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center"/>
              <w:outlineLvl w:val="9"/>
              <w:rPr>
                <w:rFonts w:hint="default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  <w:t>25</w:t>
            </w:r>
          </w:p>
        </w:tc>
        <w:tc>
          <w:tcPr>
            <w:tcW w:w="18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B8FD2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both"/>
              <w:textAlignment w:val="bottom"/>
              <w:outlineLvl w:val="9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  <w:t>83.33%</w:t>
            </w:r>
          </w:p>
        </w:tc>
      </w:tr>
      <w:tr w14:paraId="472E8D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CE6F2"/>
            <w:noWrap/>
            <w:vAlign w:val="center"/>
          </w:tcPr>
          <w:p w14:paraId="17D8AC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sz w:val="24"/>
                <w:szCs w:val="24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sz w:val="24"/>
                <w:szCs w:val="24"/>
                <w:highlight w:val="none"/>
                <w:lang w:val="en-US" w:eastAsia="zh-CN" w:bidi="ar"/>
              </w:rPr>
              <w:t>信息科技学院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CE6F2"/>
            <w:noWrap/>
            <w:vAlign w:val="center"/>
          </w:tcPr>
          <w:p w14:paraId="6A4A66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center"/>
              <w:outlineLvl w:val="9"/>
              <w:rPr>
                <w:rFonts w:hint="default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549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CE6F2"/>
            <w:noWrap/>
            <w:vAlign w:val="center"/>
          </w:tcPr>
          <w:p w14:paraId="232ED0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center"/>
              <w:outlineLvl w:val="9"/>
              <w:rPr>
                <w:rFonts w:hint="default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482</w:t>
            </w:r>
          </w:p>
        </w:tc>
        <w:tc>
          <w:tcPr>
            <w:tcW w:w="18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CE6F2"/>
            <w:noWrap/>
            <w:vAlign w:val="center"/>
          </w:tcPr>
          <w:p w14:paraId="3D341C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both"/>
              <w:textAlignment w:val="bottom"/>
              <w:outlineLvl w:val="9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  <w:t>87.80%</w:t>
            </w:r>
          </w:p>
        </w:tc>
      </w:tr>
      <w:tr w14:paraId="7EF99C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F0C2A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2" w:firstLineChars="20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b/>
                <w:color w:val="auto"/>
                <w:sz w:val="24"/>
                <w:szCs w:val="24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b/>
                <w:color w:val="auto"/>
                <w:sz w:val="24"/>
                <w:szCs w:val="24"/>
                <w:highlight w:val="none"/>
                <w:lang w:val="en-US" w:eastAsia="zh-CN" w:bidi="ar"/>
              </w:rPr>
              <w:t>合计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02129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center"/>
              <w:outlineLvl w:val="9"/>
              <w:rPr>
                <w:rFonts w:hint="default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  <w:t>2663</w:t>
            </w:r>
          </w:p>
        </w:tc>
        <w:tc>
          <w:tcPr>
            <w:tcW w:w="22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D2CA5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center"/>
              <w:textAlignment w:val="center"/>
              <w:outlineLvl w:val="9"/>
              <w:rPr>
                <w:rFonts w:hint="default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  <w:t>2270</w:t>
            </w:r>
          </w:p>
        </w:tc>
        <w:tc>
          <w:tcPr>
            <w:tcW w:w="18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B9F6F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left="0" w:leftChars="0" w:right="0" w:rightChars="0" w:firstLine="480" w:firstLineChars="200"/>
              <w:jc w:val="both"/>
              <w:textAlignment w:val="bottom"/>
              <w:outlineLvl w:val="9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  <w:lang w:val="en-US" w:eastAsia="zh-CN"/>
              </w:rPr>
              <w:t>85.24%</w:t>
            </w:r>
          </w:p>
        </w:tc>
      </w:tr>
    </w:tbl>
    <w:p w14:paraId="205ABC7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100" w:line="570" w:lineRule="exact"/>
        <w:ind w:firstLine="480" w:firstLineChars="200"/>
        <w:jc w:val="center"/>
        <w:textAlignment w:val="auto"/>
        <w:outlineLvl w:val="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表3 2025届毕业生各专业落实情况表</w:t>
      </w:r>
    </w:p>
    <w:tbl>
      <w:tblPr>
        <w:tblStyle w:val="9"/>
        <w:tblW w:w="8519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90"/>
        <w:gridCol w:w="1932"/>
        <w:gridCol w:w="1603"/>
        <w:gridCol w:w="1494"/>
      </w:tblGrid>
      <w:tr w14:paraId="0ED456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tblHeader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5B9BD5" w:fill="5B9BD5"/>
            <w:noWrap/>
            <w:vAlign w:val="center"/>
          </w:tcPr>
          <w:p w14:paraId="363F96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各专业名称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5B9BD5" w:fill="5B9BD5"/>
            <w:noWrap/>
            <w:vAlign w:val="center"/>
          </w:tcPr>
          <w:p w14:paraId="14AAAB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毕业人数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5B9BD5" w:fill="5B9BD5"/>
            <w:noWrap/>
            <w:vAlign w:val="center"/>
          </w:tcPr>
          <w:p w14:paraId="4EBF75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落实人数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5B9BD5" w:fill="5B9BD5"/>
            <w:noWrap/>
            <w:vAlign w:val="center"/>
          </w:tcPr>
          <w:p w14:paraId="36489A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各专业落实率</w:t>
            </w:r>
          </w:p>
        </w:tc>
      </w:tr>
      <w:tr w14:paraId="4F226B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DDEBF7" w:fill="BDD7EE"/>
            <w:noWrap/>
            <w:vAlign w:val="top"/>
          </w:tcPr>
          <w:p w14:paraId="3643F7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440102建筑装饰工程技术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DDEBF7" w:fill="BDD7EE"/>
            <w:noWrap/>
            <w:vAlign w:val="center"/>
          </w:tcPr>
          <w:p w14:paraId="53DAF3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DDEBF7" w:fill="BDD7EE"/>
            <w:noWrap/>
            <w:vAlign w:val="center"/>
          </w:tcPr>
          <w:p w14:paraId="4514B9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0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DDEBF7" w:fill="BDD7EE"/>
            <w:noWrap/>
            <w:vAlign w:val="center"/>
          </w:tcPr>
          <w:p w14:paraId="6F7E83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0.00%</w:t>
            </w:r>
          </w:p>
        </w:tc>
      </w:tr>
      <w:tr w14:paraId="69CD92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2916AE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440301建筑工程技术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62B860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82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DE04C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76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2B5714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92.68%</w:t>
            </w:r>
          </w:p>
        </w:tc>
      </w:tr>
      <w:tr w14:paraId="6E0E37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5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DDEBF7" w:fill="BDD7EE"/>
            <w:noWrap/>
            <w:vAlign w:val="top"/>
          </w:tcPr>
          <w:p w14:paraId="2DCAE9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440501 工程造价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DDEBF7" w:fill="BDD7EE"/>
            <w:noWrap/>
            <w:vAlign w:val="top"/>
          </w:tcPr>
          <w:p w14:paraId="281660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69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DDEBF7" w:fill="BDD7EE"/>
            <w:noWrap/>
            <w:vAlign w:val="top"/>
          </w:tcPr>
          <w:p w14:paraId="0583BC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62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DDEBF7" w:fill="BDD7EE"/>
            <w:noWrap/>
            <w:vAlign w:val="top"/>
          </w:tcPr>
          <w:p w14:paraId="2B81FD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89.55%</w:t>
            </w:r>
          </w:p>
        </w:tc>
      </w:tr>
      <w:tr w14:paraId="41CCAE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BDD7EE"/>
            <w:noWrap/>
            <w:vAlign w:val="center"/>
          </w:tcPr>
          <w:p w14:paraId="3730BF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460301机电一体化技术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BDD7EE"/>
            <w:noWrap/>
            <w:vAlign w:val="top"/>
          </w:tcPr>
          <w:p w14:paraId="00D165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177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BDD7EE"/>
            <w:noWrap/>
            <w:vAlign w:val="top"/>
          </w:tcPr>
          <w:p w14:paraId="75134B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164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BDD7EE"/>
            <w:noWrap/>
            <w:vAlign w:val="top"/>
          </w:tcPr>
          <w:p w14:paraId="3C34B5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92.66%</w:t>
            </w:r>
          </w:p>
        </w:tc>
      </w:tr>
      <w:tr w14:paraId="73EC77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BDD7EE"/>
            <w:noWrap/>
            <w:vAlign w:val="center"/>
          </w:tcPr>
          <w:p w14:paraId="35088A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460306电气自动化技术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BDD7EE"/>
            <w:noWrap/>
            <w:vAlign w:val="center"/>
          </w:tcPr>
          <w:p w14:paraId="7F6C26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37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BDD7EE"/>
            <w:noWrap/>
            <w:vAlign w:val="center"/>
          </w:tcPr>
          <w:p w14:paraId="289C27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35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BDD7EE"/>
            <w:noWrap/>
            <w:vAlign w:val="bottom"/>
          </w:tcPr>
          <w:p w14:paraId="27734B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94.59%</w:t>
            </w:r>
          </w:p>
        </w:tc>
      </w:tr>
      <w:tr w14:paraId="14BC04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1B2735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460702新能源汽车技术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2AF798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72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8A1D3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default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61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4C53F3A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84.72%</w:t>
            </w:r>
          </w:p>
        </w:tc>
      </w:tr>
      <w:tr w14:paraId="0F9CA2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433E6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500110铁道信号自动控制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0B277B0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43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1FE670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39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08D818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90.70%</w:t>
            </w:r>
          </w:p>
        </w:tc>
      </w:tr>
      <w:tr w14:paraId="35A72B9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0666F9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500112铁道交通运营管理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0B85A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127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571D4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111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0700B8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87.40%</w:t>
            </w:r>
          </w:p>
        </w:tc>
      </w:tr>
      <w:tr w14:paraId="147CC1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3BD068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500113高速铁路客运服务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6072BA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32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194EEA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31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3A8DCB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96.88%</w:t>
            </w:r>
          </w:p>
        </w:tc>
      </w:tr>
      <w:tr w14:paraId="6B1E03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438DBE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500606城市轨道交通运营管理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416CB3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</w:p>
          <w:p w14:paraId="6D6ECB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39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36CC7C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</w:p>
          <w:p w14:paraId="4CBC43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38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5BB9EE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</w:p>
          <w:p w14:paraId="2BFC61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97.44%</w:t>
            </w:r>
          </w:p>
        </w:tc>
      </w:tr>
      <w:tr w14:paraId="5048ED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44A16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500405空中乘务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FCCA4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12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09A76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2B8454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75.00%</w:t>
            </w:r>
          </w:p>
        </w:tc>
      </w:tr>
      <w:tr w14:paraId="40D55F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61F3D4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520802婴幼儿托育服务与管理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14D606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43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97D5F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38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6A92EF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88.37%</w:t>
            </w:r>
          </w:p>
        </w:tc>
      </w:tr>
      <w:tr w14:paraId="2AF5FC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41A792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530201金融服务与管理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3EF99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25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41E5E0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17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64C0FA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68.00%</w:t>
            </w:r>
          </w:p>
        </w:tc>
      </w:tr>
      <w:tr w14:paraId="40E67B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470B90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530301大数据与财务管理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68B4B4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47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6579B3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45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5F10AF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95.74%</w:t>
            </w:r>
          </w:p>
        </w:tc>
      </w:tr>
      <w:tr w14:paraId="22BFAA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444E9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530302大数据与会计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8E21C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295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B07E3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243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4D2428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82.37%</w:t>
            </w:r>
          </w:p>
        </w:tc>
      </w:tr>
      <w:tr w14:paraId="2D6BD3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3C6D2E3C">
            <w:pPr>
              <w:pStyle w:val="13"/>
              <w:spacing w:before="120" w:line="223" w:lineRule="auto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530605 市场营销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50E2E6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34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02E699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33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40CF20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97.06%</w:t>
            </w:r>
          </w:p>
        </w:tc>
      </w:tr>
      <w:tr w14:paraId="53B66A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1C383C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530701 电子商务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51BDA1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92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48A645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74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65C1D4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80.43%</w:t>
            </w:r>
          </w:p>
        </w:tc>
      </w:tr>
      <w:tr w14:paraId="1C710A3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3BE7CF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540101旅游管理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4DD115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18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0FEBDE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15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6C8854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83.33%</w:t>
            </w:r>
          </w:p>
        </w:tc>
      </w:tr>
      <w:tr w14:paraId="3A834C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0F9766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540106酒店管理与数字化运营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0A6A9E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12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5E6B5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647FE7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75.00%</w:t>
            </w:r>
          </w:p>
        </w:tc>
      </w:tr>
      <w:tr w14:paraId="505257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0CB169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550101 艺术设计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514213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34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36894E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28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274AE5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82.35%</w:t>
            </w:r>
          </w:p>
        </w:tc>
      </w:tr>
      <w:tr w14:paraId="16CE0B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3E8BDF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560204影视编导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1FE55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92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0FA9C5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80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724150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86.96%</w:t>
            </w:r>
          </w:p>
        </w:tc>
      </w:tr>
      <w:tr w14:paraId="012738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462D92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560216全媒体广告策划与营销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25977A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33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477B4E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30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5F9D33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90.91%</w:t>
            </w:r>
          </w:p>
        </w:tc>
      </w:tr>
      <w:tr w14:paraId="6B0F0B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645FFA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590202人力资源管理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0B12EE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54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73101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49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735B20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90.74%</w:t>
            </w:r>
          </w:p>
        </w:tc>
      </w:tr>
      <w:tr w14:paraId="4A36ED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45B8FF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570201商务英语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46BC16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56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32892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46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70AE1C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82.14%</w:t>
            </w:r>
          </w:p>
        </w:tc>
      </w:tr>
      <w:tr w14:paraId="7E93B5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C8FCDF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520201护理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458AD6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348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15293F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254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184352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72.99%</w:t>
            </w:r>
          </w:p>
        </w:tc>
      </w:tr>
      <w:tr w14:paraId="4E997E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C764D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520417中医养生保健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C298B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24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4E2F23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21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5AE83C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87.50%</w:t>
            </w:r>
          </w:p>
        </w:tc>
      </w:tr>
      <w:tr w14:paraId="3C8DC5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114B56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520502 医学影像技术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4FA47A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158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7A1AE2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132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31265B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83.54%</w:t>
            </w:r>
          </w:p>
        </w:tc>
      </w:tr>
      <w:tr w14:paraId="38E5CE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357F99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490208药品经营与管理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6E180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28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ECFBA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24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5A3D9A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85.71%</w:t>
            </w:r>
          </w:p>
        </w:tc>
      </w:tr>
      <w:tr w14:paraId="315A60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283DF8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510102物联网应用技术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0321B9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21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387159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19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433BEA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90.48%</w:t>
            </w:r>
          </w:p>
        </w:tc>
      </w:tr>
      <w:tr w14:paraId="056641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1B9C77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510201计算机应用技术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41C391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158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382C28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139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6A96BB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87.97%</w:t>
            </w:r>
          </w:p>
        </w:tc>
      </w:tr>
      <w:tr w14:paraId="1056FD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164F02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510202 计算机网络技术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61A6661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35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27EF06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34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5DFC45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97.14%</w:t>
            </w:r>
          </w:p>
        </w:tc>
      </w:tr>
      <w:tr w14:paraId="1F7CA5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130A42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510204数字媒体技术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730A1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40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6C2FA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39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1C684E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97.50%</w:t>
            </w:r>
          </w:p>
        </w:tc>
      </w:tr>
      <w:tr w14:paraId="54ADD4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0D49A0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510205大数据技术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23A554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65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B0B11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55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1605F9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84.62%</w:t>
            </w:r>
          </w:p>
        </w:tc>
      </w:tr>
      <w:tr w14:paraId="50057FC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52C78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510206云计算技术应用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234CF2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29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C8BDD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29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413201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100.00%</w:t>
            </w:r>
          </w:p>
        </w:tc>
      </w:tr>
      <w:tr w14:paraId="2C2C5A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317A5F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510213移动应用开发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0E72A6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98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6B8BF0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79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688AAC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80.61%</w:t>
            </w:r>
          </w:p>
        </w:tc>
      </w:tr>
      <w:tr w14:paraId="7AEC0B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014386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510215 动漫制作技术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40281E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81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57DF6D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72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top"/>
          </w:tcPr>
          <w:p w14:paraId="4DC8B1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88.89%</w:t>
            </w:r>
          </w:p>
        </w:tc>
      </w:tr>
      <w:tr w14:paraId="57240C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3F7FC8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570312电子竞技运动与管理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38709A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22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9CC50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16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7D98D1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72.73%</w:t>
            </w:r>
          </w:p>
        </w:tc>
      </w:tr>
      <w:tr w14:paraId="46621E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578152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590102党务工作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7ACF44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30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6796B3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25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14E361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83.33%</w:t>
            </w:r>
          </w:p>
        </w:tc>
      </w:tr>
      <w:tr w14:paraId="1FF59E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3490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639D7D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both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合计</w:t>
            </w:r>
          </w:p>
        </w:tc>
        <w:tc>
          <w:tcPr>
            <w:tcW w:w="1932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240B0B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2663</w:t>
            </w:r>
          </w:p>
        </w:tc>
        <w:tc>
          <w:tcPr>
            <w:tcW w:w="1603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center"/>
          </w:tcPr>
          <w:p w14:paraId="3A631B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2270</w:t>
            </w:r>
          </w:p>
        </w:tc>
        <w:tc>
          <w:tcPr>
            <w:tcW w:w="1494" w:type="dxa"/>
            <w:tcBorders>
              <w:top w:val="single" w:color="FFFFFF" w:sz="8" w:space="0"/>
              <w:left w:val="single" w:color="FFFFFF" w:sz="8" w:space="0"/>
              <w:bottom w:val="single" w:color="FFFFFF" w:sz="8" w:space="0"/>
              <w:right w:val="single" w:color="FFFFFF" w:sz="8" w:space="0"/>
            </w:tcBorders>
            <w:shd w:val="clear" w:color="auto" w:fill="EFF5FB"/>
            <w:noWrap/>
            <w:vAlign w:val="bottom"/>
          </w:tcPr>
          <w:p w14:paraId="65D770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570" w:lineRule="exact"/>
              <w:ind w:right="0" w:rightChars="0"/>
              <w:jc w:val="center"/>
              <w:textAlignment w:val="top"/>
              <w:outlineLvl w:val="9"/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</w:pPr>
            <w:r>
              <w:rPr>
                <w:rStyle w:val="12"/>
                <w:rFonts w:hint="eastAsia" w:ascii="仿宋" w:hAnsi="仿宋" w:eastAsia="仿宋" w:cs="仿宋"/>
                <w:color w:val="auto"/>
                <w:kern w:val="0"/>
                <w:sz w:val="28"/>
                <w:szCs w:val="28"/>
                <w:highlight w:val="none"/>
                <w:lang w:val="en-US" w:eastAsia="zh-CN" w:bidi="ar"/>
              </w:rPr>
              <w:t>85.24%</w:t>
            </w:r>
          </w:p>
        </w:tc>
      </w:tr>
    </w:tbl>
    <w:p w14:paraId="39C00D13">
      <w:pPr>
        <w:pStyle w:val="8"/>
        <w:spacing w:before="0" w:beforeAutospacing="0" w:after="0"/>
        <w:ind w:left="0" w:leftChars="0" w:firstLine="0" w:firstLineChars="0"/>
        <w:rPr>
          <w:rFonts w:hint="default"/>
          <w:lang w:val="en-US" w:eastAsia="zh-CN"/>
        </w:rPr>
      </w:pPr>
    </w:p>
    <w:p w14:paraId="2AEE1A8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（二）按毕业去向</w:t>
      </w:r>
    </w:p>
    <w:p w14:paraId="269B038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202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5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届专科毕业生毕业去向以单位就业为主，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包含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签订就业协议和劳动合同就业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，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共计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1167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人，占比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51.4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%。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其他录用形式941人，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参加专接本升学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98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人，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应征义务兵47人，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自主创业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13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人，应征义务兵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47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人，自由职业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4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人，待就业3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84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人。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见表4，较2024届数据，2025届签订就业协议人数高出829人，大幅度上升；自由职业较2024届比人数降低666人，由此得出毕业生更倾向于选择具备劳动关系保障、福利体系完善的正规就业岗位，这也体现企业招聘需求释放、校招渠道适配性提升，同时折射出就业群体对职业稳定性、发展确定性的追求增强。</w:t>
      </w:r>
      <w:bookmarkStart w:id="20" w:name="_Toc7850"/>
      <w:bookmarkStart w:id="21" w:name="_Toc15729"/>
      <w:bookmarkStart w:id="22" w:name="_Toc19604"/>
      <w:bookmarkStart w:id="23" w:name="_Toc18703"/>
      <w:bookmarkStart w:id="24" w:name="_Toc2450"/>
    </w:p>
    <w:p w14:paraId="59DDF38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100" w:line="570" w:lineRule="exact"/>
        <w:ind w:firstLine="480" w:firstLineChars="200"/>
        <w:jc w:val="center"/>
        <w:textAlignment w:val="auto"/>
        <w:outlineLvl w:val="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表4 2024届和2025届专科毕业生毕业去向</w:t>
      </w:r>
      <w:bookmarkEnd w:id="20"/>
      <w:bookmarkEnd w:id="21"/>
      <w:bookmarkEnd w:id="22"/>
      <w:bookmarkEnd w:id="23"/>
      <w:bookmarkEnd w:id="24"/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对比表</w:t>
      </w:r>
    </w:p>
    <w:tbl>
      <w:tblPr>
        <w:tblStyle w:val="9"/>
        <w:tblW w:w="9322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73"/>
        <w:gridCol w:w="1959"/>
        <w:gridCol w:w="1483"/>
        <w:gridCol w:w="1501"/>
        <w:gridCol w:w="1306"/>
      </w:tblGrid>
      <w:tr w14:paraId="27F154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" w:hRule="atLeast"/>
          <w:jc w:val="center"/>
        </w:trPr>
        <w:tc>
          <w:tcPr>
            <w:tcW w:w="3073" w:type="dxa"/>
            <w:tcBorders>
              <w:top w:val="single" w:color="5B9BD5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5B9BD5" w:fill="5B9BD5"/>
            <w:noWrap/>
            <w:vAlign w:val="center"/>
          </w:tcPr>
          <w:p w14:paraId="021C2F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ind w:firstLine="482" w:firstLineChars="200"/>
              <w:jc w:val="both"/>
              <w:textAlignment w:val="center"/>
              <w:outlineLvl w:val="9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各毕业去向分布</w:t>
            </w:r>
          </w:p>
        </w:tc>
        <w:tc>
          <w:tcPr>
            <w:tcW w:w="1959" w:type="dxa"/>
            <w:tcBorders>
              <w:top w:val="single" w:color="5B9BD5" w:sz="4" w:space="0"/>
              <w:left w:val="nil"/>
              <w:bottom w:val="single" w:color="9BC2E6" w:sz="4" w:space="0"/>
              <w:right w:val="nil"/>
            </w:tcBorders>
            <w:shd w:val="clear" w:color="5B9BD5" w:fill="5B9BD5"/>
            <w:noWrap/>
            <w:vAlign w:val="center"/>
          </w:tcPr>
          <w:p w14:paraId="6B34AB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jc w:val="both"/>
              <w:textAlignment w:val="center"/>
              <w:outlineLvl w:val="9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2025届落实人数</w:t>
            </w:r>
          </w:p>
        </w:tc>
        <w:tc>
          <w:tcPr>
            <w:tcW w:w="1483" w:type="dxa"/>
            <w:tcBorders>
              <w:top w:val="single" w:color="5B9BD5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5B9BD5" w:fill="5B9BD5"/>
            <w:noWrap/>
            <w:vAlign w:val="center"/>
          </w:tcPr>
          <w:p w14:paraId="30E8FF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jc w:val="both"/>
              <w:textAlignment w:val="center"/>
              <w:outlineLvl w:val="9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各分部占比</w:t>
            </w:r>
          </w:p>
        </w:tc>
        <w:tc>
          <w:tcPr>
            <w:tcW w:w="1501" w:type="dxa"/>
            <w:tcBorders>
              <w:top w:val="single" w:color="5B9BD5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5B9BD5" w:fill="5B9BD5"/>
            <w:noWrap/>
            <w:vAlign w:val="center"/>
          </w:tcPr>
          <w:p w14:paraId="3A7311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jc w:val="both"/>
              <w:textAlignment w:val="center"/>
              <w:outlineLvl w:val="9"/>
              <w:rPr>
                <w:rFonts w:hint="default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2024届落实人数</w:t>
            </w:r>
          </w:p>
        </w:tc>
        <w:tc>
          <w:tcPr>
            <w:tcW w:w="1306" w:type="dxa"/>
            <w:tcBorders>
              <w:top w:val="single" w:color="5B9BD5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5B9BD5" w:fill="5B9BD5"/>
            <w:noWrap/>
            <w:vAlign w:val="center"/>
          </w:tcPr>
          <w:p w14:paraId="07AFE0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jc w:val="both"/>
              <w:textAlignment w:val="center"/>
              <w:outlineLvl w:val="9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各分部占比</w:t>
            </w:r>
          </w:p>
        </w:tc>
      </w:tr>
      <w:tr w14:paraId="0E5633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3073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/>
            <w:vAlign w:val="center"/>
          </w:tcPr>
          <w:p w14:paraId="09BC47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签就业协议形式就业</w:t>
            </w:r>
          </w:p>
        </w:tc>
        <w:tc>
          <w:tcPr>
            <w:tcW w:w="1959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/>
            <w:vAlign w:val="center"/>
          </w:tcPr>
          <w:p w14:paraId="1A4FC1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1049</w:t>
            </w:r>
          </w:p>
        </w:tc>
        <w:tc>
          <w:tcPr>
            <w:tcW w:w="1483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4F4462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39.39%</w:t>
            </w:r>
          </w:p>
        </w:tc>
        <w:tc>
          <w:tcPr>
            <w:tcW w:w="1501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40262E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220</w:t>
            </w:r>
          </w:p>
        </w:tc>
        <w:tc>
          <w:tcPr>
            <w:tcW w:w="1306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7A357C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9.54%</w:t>
            </w:r>
          </w:p>
        </w:tc>
      </w:tr>
      <w:tr w14:paraId="3FC1F0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3073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/>
            <w:vAlign w:val="center"/>
          </w:tcPr>
          <w:p w14:paraId="6AA190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其他录用形式就业</w:t>
            </w:r>
          </w:p>
        </w:tc>
        <w:tc>
          <w:tcPr>
            <w:tcW w:w="1959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/>
            <w:vAlign w:val="center"/>
          </w:tcPr>
          <w:p w14:paraId="739A52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941</w:t>
            </w:r>
          </w:p>
        </w:tc>
        <w:tc>
          <w:tcPr>
            <w:tcW w:w="1483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48496E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35.34%</w:t>
            </w:r>
          </w:p>
        </w:tc>
        <w:tc>
          <w:tcPr>
            <w:tcW w:w="1501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2B3C89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736</w:t>
            </w:r>
          </w:p>
        </w:tc>
        <w:tc>
          <w:tcPr>
            <w:tcW w:w="1306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434496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31.91%</w:t>
            </w:r>
          </w:p>
        </w:tc>
      </w:tr>
      <w:tr w14:paraId="070536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3073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/>
            <w:vAlign w:val="center"/>
          </w:tcPr>
          <w:p w14:paraId="33B063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待就业</w:t>
            </w:r>
          </w:p>
        </w:tc>
        <w:tc>
          <w:tcPr>
            <w:tcW w:w="1959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/>
            <w:vAlign w:val="center"/>
          </w:tcPr>
          <w:p w14:paraId="41D832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384</w:t>
            </w:r>
          </w:p>
        </w:tc>
        <w:tc>
          <w:tcPr>
            <w:tcW w:w="1483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48630F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14.42%</w:t>
            </w:r>
          </w:p>
        </w:tc>
        <w:tc>
          <w:tcPr>
            <w:tcW w:w="1501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4FCAC3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320</w:t>
            </w:r>
          </w:p>
        </w:tc>
        <w:tc>
          <w:tcPr>
            <w:tcW w:w="1306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565403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13.87%</w:t>
            </w:r>
          </w:p>
        </w:tc>
      </w:tr>
      <w:tr w14:paraId="750CC59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3073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/>
            <w:vAlign w:val="center"/>
          </w:tcPr>
          <w:p w14:paraId="20941F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签劳动合同形式就业</w:t>
            </w:r>
          </w:p>
        </w:tc>
        <w:tc>
          <w:tcPr>
            <w:tcW w:w="1959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/>
            <w:vAlign w:val="center"/>
          </w:tcPr>
          <w:p w14:paraId="418ED3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118</w:t>
            </w:r>
          </w:p>
        </w:tc>
        <w:tc>
          <w:tcPr>
            <w:tcW w:w="1483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489D56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4.43%</w:t>
            </w:r>
          </w:p>
        </w:tc>
        <w:tc>
          <w:tcPr>
            <w:tcW w:w="1501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51A634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192</w:t>
            </w:r>
          </w:p>
        </w:tc>
        <w:tc>
          <w:tcPr>
            <w:tcW w:w="1306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70D041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8.32%</w:t>
            </w:r>
          </w:p>
        </w:tc>
      </w:tr>
      <w:tr w14:paraId="4A9D44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3073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/>
            <w:vAlign w:val="center"/>
          </w:tcPr>
          <w:p w14:paraId="2B2F6E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升学</w:t>
            </w:r>
          </w:p>
        </w:tc>
        <w:tc>
          <w:tcPr>
            <w:tcW w:w="1959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/>
            <w:vAlign w:val="center"/>
          </w:tcPr>
          <w:p w14:paraId="543C6F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98</w:t>
            </w:r>
          </w:p>
        </w:tc>
        <w:tc>
          <w:tcPr>
            <w:tcW w:w="1483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116431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3.6%</w:t>
            </w:r>
          </w:p>
        </w:tc>
        <w:tc>
          <w:tcPr>
            <w:tcW w:w="1501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5DAD61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45</w:t>
            </w:r>
          </w:p>
        </w:tc>
        <w:tc>
          <w:tcPr>
            <w:tcW w:w="1306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1624EE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1.95%</w:t>
            </w:r>
          </w:p>
        </w:tc>
      </w:tr>
      <w:tr w14:paraId="689BD8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3073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/>
            <w:vAlign w:val="center"/>
          </w:tcPr>
          <w:p w14:paraId="27353B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应征义务兵</w:t>
            </w:r>
          </w:p>
        </w:tc>
        <w:tc>
          <w:tcPr>
            <w:tcW w:w="1959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/>
            <w:vAlign w:val="center"/>
          </w:tcPr>
          <w:p w14:paraId="5630F9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47</w:t>
            </w:r>
          </w:p>
        </w:tc>
        <w:tc>
          <w:tcPr>
            <w:tcW w:w="1483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5E97AB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1.76%</w:t>
            </w:r>
          </w:p>
        </w:tc>
        <w:tc>
          <w:tcPr>
            <w:tcW w:w="1501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536761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51</w:t>
            </w:r>
          </w:p>
        </w:tc>
        <w:tc>
          <w:tcPr>
            <w:tcW w:w="1306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0F27AC6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2.21%</w:t>
            </w:r>
          </w:p>
        </w:tc>
      </w:tr>
      <w:tr w14:paraId="0B3128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3073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/>
            <w:vAlign w:val="center"/>
          </w:tcPr>
          <w:p w14:paraId="052867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自主创业</w:t>
            </w:r>
          </w:p>
        </w:tc>
        <w:tc>
          <w:tcPr>
            <w:tcW w:w="1959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/>
            <w:vAlign w:val="center"/>
          </w:tcPr>
          <w:p w14:paraId="7E698C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13</w:t>
            </w:r>
          </w:p>
        </w:tc>
        <w:tc>
          <w:tcPr>
            <w:tcW w:w="1483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2FB572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0.49%</w:t>
            </w:r>
          </w:p>
        </w:tc>
        <w:tc>
          <w:tcPr>
            <w:tcW w:w="1501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4CE3DC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37</w:t>
            </w:r>
          </w:p>
        </w:tc>
        <w:tc>
          <w:tcPr>
            <w:tcW w:w="1306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712F6A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1.6%</w:t>
            </w:r>
          </w:p>
        </w:tc>
      </w:tr>
      <w:tr w14:paraId="375913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3073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/>
            <w:vAlign w:val="center"/>
          </w:tcPr>
          <w:p w14:paraId="4DBB93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其他暂不就业</w:t>
            </w:r>
          </w:p>
        </w:tc>
        <w:tc>
          <w:tcPr>
            <w:tcW w:w="1959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/>
            <w:vAlign w:val="center"/>
          </w:tcPr>
          <w:p w14:paraId="35BF06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9</w:t>
            </w:r>
          </w:p>
        </w:tc>
        <w:tc>
          <w:tcPr>
            <w:tcW w:w="1483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50D5C4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0.34%</w:t>
            </w:r>
          </w:p>
        </w:tc>
        <w:tc>
          <w:tcPr>
            <w:tcW w:w="1501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5B89BC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35</w:t>
            </w:r>
          </w:p>
        </w:tc>
        <w:tc>
          <w:tcPr>
            <w:tcW w:w="1306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705CF7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1.52%</w:t>
            </w:r>
          </w:p>
        </w:tc>
      </w:tr>
      <w:tr w14:paraId="79A136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3073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/>
            <w:vAlign w:val="center"/>
          </w:tcPr>
          <w:p w14:paraId="405E90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自由职业</w:t>
            </w:r>
          </w:p>
        </w:tc>
        <w:tc>
          <w:tcPr>
            <w:tcW w:w="1959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/>
            <w:vAlign w:val="center"/>
          </w:tcPr>
          <w:p w14:paraId="3A454D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4</w:t>
            </w:r>
          </w:p>
        </w:tc>
        <w:tc>
          <w:tcPr>
            <w:tcW w:w="1483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75BC01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0.15%</w:t>
            </w:r>
          </w:p>
        </w:tc>
        <w:tc>
          <w:tcPr>
            <w:tcW w:w="1501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41CDB0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670</w:t>
            </w:r>
          </w:p>
        </w:tc>
        <w:tc>
          <w:tcPr>
            <w:tcW w:w="1306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/>
            <w:vAlign w:val="center"/>
          </w:tcPr>
          <w:p w14:paraId="333B42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29.25%</w:t>
            </w:r>
          </w:p>
        </w:tc>
      </w:tr>
      <w:tr w14:paraId="4264793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3073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/>
            <w:vAlign w:val="center"/>
          </w:tcPr>
          <w:p w14:paraId="1E6E3D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合计</w:t>
            </w:r>
          </w:p>
        </w:tc>
        <w:tc>
          <w:tcPr>
            <w:tcW w:w="1959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/>
            <w:vAlign w:val="center"/>
          </w:tcPr>
          <w:p w14:paraId="4A1451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 w:firstLine="480" w:firstLineChars="200"/>
              <w:jc w:val="left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2663</w:t>
            </w:r>
          </w:p>
        </w:tc>
        <w:tc>
          <w:tcPr>
            <w:tcW w:w="1483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123783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100.00%</w:t>
            </w:r>
          </w:p>
        </w:tc>
        <w:tc>
          <w:tcPr>
            <w:tcW w:w="1501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717A7C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2306</w:t>
            </w:r>
          </w:p>
        </w:tc>
        <w:tc>
          <w:tcPr>
            <w:tcW w:w="1306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/>
            <w:vAlign w:val="center"/>
          </w:tcPr>
          <w:p w14:paraId="4E8BFE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left"/>
              <w:rPr>
                <w:rFonts w:hint="default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100.00%</w:t>
            </w:r>
          </w:p>
        </w:tc>
      </w:tr>
    </w:tbl>
    <w:p w14:paraId="521E11E7">
      <w:pPr>
        <w:pStyle w:val="8"/>
        <w:spacing w:before="0" w:beforeAutospacing="0" w:after="0"/>
        <w:ind w:left="0" w:leftChars="0" w:firstLine="0" w:firstLineChars="0"/>
        <w:rPr>
          <w:rFonts w:hint="default"/>
          <w:lang w:val="en-US" w:eastAsia="zh-CN"/>
        </w:rPr>
      </w:pPr>
    </w:p>
    <w:p w14:paraId="00B0CBD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（三）按单位行业</w:t>
      </w:r>
    </w:p>
    <w:p w14:paraId="2F4CD3B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见表5，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按就业单位行业统计，在农、林、牧、渔业就业的毕业生占3.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63%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%，在采矿业就业的占0.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24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%；在制造业就业的占15.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65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%；在电力、热力、燃气及水生产和供应业就业的占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1.79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%；在建筑业就业的占12.2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6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%；在批发和零售业就业的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16.12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%；在交通运输、仓储和邮政业就业的占3.4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9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%；在住宿和餐饮业就业的占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4.95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%；在信息传输、软件和信息技术服务业就业的占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7.69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%；在金融业就业的占1.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56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%；在房地产业就业的占1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.41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%；在租赁和商务服务业就业的占4.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48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%；在科学研究和技术服务业就业的占2.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36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%；在水利、环境和公共设施管理业就业的占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0.47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%；在居民服务、修理和其他服务业就业的占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7.26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%；在教育就业的占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4.9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%；在卫生和社会工作就业的占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4.67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%；在文化、体育和娱乐业就业的占4.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29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%；在公共管理、社会保障和社会组织就业的占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2.69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%；在军队就业的占0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.05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。</w:t>
      </w:r>
    </w:p>
    <w:p w14:paraId="704DC5F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100" w:line="570" w:lineRule="exact"/>
        <w:ind w:firstLine="480" w:firstLineChars="200"/>
        <w:jc w:val="center"/>
        <w:textAlignment w:val="auto"/>
        <w:outlineLvl w:val="0"/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表5 2025届毕业生</w:t>
      </w:r>
      <w:r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就业单位行业分布</w:t>
      </w: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表（按单位行业划分）</w:t>
      </w:r>
    </w:p>
    <w:tbl>
      <w:tblPr>
        <w:tblStyle w:val="9"/>
        <w:tblW w:w="8918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10"/>
        <w:gridCol w:w="2154"/>
        <w:gridCol w:w="1854"/>
      </w:tblGrid>
      <w:tr w14:paraId="6CFBE7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5" w:hRule="atLeast"/>
          <w:jc w:val="center"/>
        </w:trPr>
        <w:tc>
          <w:tcPr>
            <w:tcW w:w="4910" w:type="dxa"/>
            <w:tcBorders>
              <w:top w:val="single" w:color="5B9BD5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5B9BD5" w:fill="5B9BD5"/>
            <w:noWrap w:val="0"/>
            <w:vAlign w:val="center"/>
          </w:tcPr>
          <w:p w14:paraId="198E47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ind w:firstLine="482" w:firstLineChars="200"/>
              <w:jc w:val="both"/>
              <w:textAlignment w:val="top"/>
              <w:outlineLvl w:val="9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就业单位行业分布</w:t>
            </w:r>
          </w:p>
        </w:tc>
        <w:tc>
          <w:tcPr>
            <w:tcW w:w="2154" w:type="dxa"/>
            <w:tcBorders>
              <w:top w:val="single" w:color="5B9BD5" w:sz="4" w:space="0"/>
              <w:left w:val="nil"/>
              <w:bottom w:val="single" w:color="9BC2E6" w:sz="4" w:space="0"/>
              <w:right w:val="nil"/>
            </w:tcBorders>
            <w:shd w:val="clear" w:color="5B9BD5" w:fill="5B9BD5"/>
            <w:noWrap w:val="0"/>
            <w:vAlign w:val="center"/>
          </w:tcPr>
          <w:p w14:paraId="0FEADE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jc w:val="both"/>
              <w:textAlignment w:val="top"/>
              <w:outlineLvl w:val="9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专科就业人数</w:t>
            </w:r>
          </w:p>
        </w:tc>
        <w:tc>
          <w:tcPr>
            <w:tcW w:w="1854" w:type="dxa"/>
            <w:tcBorders>
              <w:top w:val="single" w:color="5B9BD5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5B9BD5" w:fill="5B9BD5"/>
            <w:noWrap w:val="0"/>
            <w:vAlign w:val="center"/>
          </w:tcPr>
          <w:p w14:paraId="405F6A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jc w:val="both"/>
              <w:textAlignment w:val="top"/>
              <w:outlineLvl w:val="9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各分部占比</w:t>
            </w:r>
          </w:p>
        </w:tc>
      </w:tr>
      <w:tr w14:paraId="787424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441F77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Style w:val="12"/>
                <w:rFonts w:hint="eastAsia" w:ascii="仿宋" w:hAnsi="仿宋" w:eastAsia="仿宋" w:cs="仿宋"/>
                <w:color w:val="auto"/>
                <w:sz w:val="24"/>
                <w:szCs w:val="24"/>
                <w:highlight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农、林、牧、渔业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6FF744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77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 w:val="0"/>
            <w:vAlign w:val="center"/>
          </w:tcPr>
          <w:p w14:paraId="67CCC2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3.63%</w:t>
            </w:r>
          </w:p>
        </w:tc>
      </w:tr>
      <w:tr w14:paraId="61F172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0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 w:val="0"/>
            <w:vAlign w:val="center"/>
          </w:tcPr>
          <w:p w14:paraId="2C503B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采矿业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 w:val="0"/>
            <w:vAlign w:val="center"/>
          </w:tcPr>
          <w:p w14:paraId="5E09DF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5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 w:val="0"/>
            <w:vAlign w:val="center"/>
          </w:tcPr>
          <w:p w14:paraId="5BE413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0.24%</w:t>
            </w:r>
          </w:p>
        </w:tc>
      </w:tr>
      <w:tr w14:paraId="3E30DA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682FAC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制造业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37015B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332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 w:val="0"/>
            <w:vAlign w:val="center"/>
          </w:tcPr>
          <w:p w14:paraId="742DD7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15.65%</w:t>
            </w:r>
          </w:p>
        </w:tc>
      </w:tr>
      <w:tr w14:paraId="0C3597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 w:val="0"/>
            <w:vAlign w:val="center"/>
          </w:tcPr>
          <w:p w14:paraId="3B8585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电力、热力、燃气及水生产和供应业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 w:val="0"/>
            <w:vAlign w:val="center"/>
          </w:tcPr>
          <w:p w14:paraId="6BE6A9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38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 w:val="0"/>
            <w:vAlign w:val="center"/>
          </w:tcPr>
          <w:p w14:paraId="33B561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1.79%</w:t>
            </w:r>
          </w:p>
        </w:tc>
      </w:tr>
      <w:tr w14:paraId="7D9B74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408A07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建筑业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1619D5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260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 w:val="0"/>
            <w:vAlign w:val="center"/>
          </w:tcPr>
          <w:p w14:paraId="238BA6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12.26%</w:t>
            </w:r>
          </w:p>
        </w:tc>
      </w:tr>
      <w:tr w14:paraId="5D3987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 w:val="0"/>
            <w:vAlign w:val="center"/>
          </w:tcPr>
          <w:p w14:paraId="1C48D6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批发和零售业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 w:val="0"/>
            <w:vAlign w:val="center"/>
          </w:tcPr>
          <w:p w14:paraId="0E76C4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342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 w:val="0"/>
            <w:vAlign w:val="center"/>
          </w:tcPr>
          <w:p w14:paraId="405118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16.12%</w:t>
            </w:r>
          </w:p>
        </w:tc>
      </w:tr>
      <w:tr w14:paraId="62C07E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6B3A40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交通运输、仓储和邮政业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2D5A30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74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 w:val="0"/>
            <w:vAlign w:val="center"/>
          </w:tcPr>
          <w:p w14:paraId="3B6444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3.49%</w:t>
            </w:r>
          </w:p>
        </w:tc>
      </w:tr>
      <w:tr w14:paraId="4B7601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5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 w:val="0"/>
            <w:vAlign w:val="center"/>
          </w:tcPr>
          <w:p w14:paraId="3ADA72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住宿和餐饮业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 w:val="0"/>
            <w:vAlign w:val="center"/>
          </w:tcPr>
          <w:p w14:paraId="19FE1E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105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 w:val="0"/>
            <w:vAlign w:val="center"/>
          </w:tcPr>
          <w:p w14:paraId="4B201B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4.95%</w:t>
            </w:r>
          </w:p>
        </w:tc>
      </w:tr>
      <w:tr w14:paraId="48B676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0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7F65DA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信息传输、软件和信息技术服务业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701F48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163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 w:val="0"/>
            <w:vAlign w:val="center"/>
          </w:tcPr>
          <w:p w14:paraId="5D1727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7.69%</w:t>
            </w:r>
          </w:p>
        </w:tc>
      </w:tr>
      <w:tr w14:paraId="10F8A7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0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 w:val="0"/>
            <w:vAlign w:val="center"/>
          </w:tcPr>
          <w:p w14:paraId="6A0194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金融业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 w:val="0"/>
            <w:vAlign w:val="center"/>
          </w:tcPr>
          <w:p w14:paraId="080905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33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 w:val="0"/>
            <w:vAlign w:val="center"/>
          </w:tcPr>
          <w:p w14:paraId="6A4F17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1.56%</w:t>
            </w:r>
          </w:p>
        </w:tc>
      </w:tr>
      <w:tr w14:paraId="3FC0B8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0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1E968A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房地产业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499FCE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30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 w:val="0"/>
            <w:vAlign w:val="center"/>
          </w:tcPr>
          <w:p w14:paraId="63F87F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1.41%</w:t>
            </w:r>
          </w:p>
        </w:tc>
      </w:tr>
      <w:tr w14:paraId="3233D7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 w:val="0"/>
            <w:vAlign w:val="center"/>
          </w:tcPr>
          <w:p w14:paraId="035BBA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租赁和商务服务业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 w:val="0"/>
            <w:vAlign w:val="center"/>
          </w:tcPr>
          <w:p w14:paraId="5768F5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95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 w:val="0"/>
            <w:vAlign w:val="center"/>
          </w:tcPr>
          <w:p w14:paraId="2DB6B6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4.48%</w:t>
            </w:r>
          </w:p>
        </w:tc>
      </w:tr>
      <w:tr w14:paraId="626553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7294E1F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科学研究和技术服务业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7C42C2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50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 w:val="0"/>
            <w:vAlign w:val="center"/>
          </w:tcPr>
          <w:p w14:paraId="4CC6B3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2.36%</w:t>
            </w:r>
          </w:p>
        </w:tc>
      </w:tr>
      <w:tr w14:paraId="748D7A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0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 w:val="0"/>
            <w:vAlign w:val="center"/>
          </w:tcPr>
          <w:p w14:paraId="118BFC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水利、环境和公共设施管理业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 w:val="0"/>
            <w:vAlign w:val="center"/>
          </w:tcPr>
          <w:p w14:paraId="428667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10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 w:val="0"/>
            <w:vAlign w:val="center"/>
          </w:tcPr>
          <w:p w14:paraId="485FD0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0.47%</w:t>
            </w:r>
          </w:p>
        </w:tc>
      </w:tr>
      <w:tr w14:paraId="009409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67A22B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居民服务、修理和其他服务业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5CD718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154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 w:val="0"/>
            <w:vAlign w:val="center"/>
          </w:tcPr>
          <w:p w14:paraId="7D2775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7.26%</w:t>
            </w:r>
          </w:p>
        </w:tc>
      </w:tr>
      <w:tr w14:paraId="2B61FC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 w:val="0"/>
            <w:vAlign w:val="center"/>
          </w:tcPr>
          <w:p w14:paraId="32DBFB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教育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 w:val="0"/>
            <w:vAlign w:val="center"/>
          </w:tcPr>
          <w:p w14:paraId="600E8A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104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 w:val="0"/>
            <w:vAlign w:val="center"/>
          </w:tcPr>
          <w:p w14:paraId="2AD8BA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4.90%</w:t>
            </w:r>
          </w:p>
        </w:tc>
      </w:tr>
      <w:tr w14:paraId="1C4A3B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7E2030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卫生和社会工作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28FC85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99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 w:val="0"/>
            <w:vAlign w:val="center"/>
          </w:tcPr>
          <w:p w14:paraId="4D00A2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4.67%</w:t>
            </w:r>
          </w:p>
        </w:tc>
      </w:tr>
      <w:tr w14:paraId="2619C8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4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noWrap w:val="0"/>
            <w:vAlign w:val="center"/>
          </w:tcPr>
          <w:p w14:paraId="670740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文化、体育和娱乐业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noWrap w:val="0"/>
            <w:vAlign w:val="center"/>
          </w:tcPr>
          <w:p w14:paraId="6D2E80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91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noWrap w:val="0"/>
            <w:vAlign w:val="center"/>
          </w:tcPr>
          <w:p w14:paraId="7DD451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4.29%</w:t>
            </w:r>
          </w:p>
        </w:tc>
      </w:tr>
      <w:tr w14:paraId="659C58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48CBBD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公共管理、社会保障和社会组织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368DEE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57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 w:val="0"/>
            <w:vAlign w:val="center"/>
          </w:tcPr>
          <w:p w14:paraId="005398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2.69%</w:t>
            </w:r>
          </w:p>
        </w:tc>
      </w:tr>
      <w:tr w14:paraId="530782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FFFFFF"/>
            <w:noWrap w:val="0"/>
            <w:vAlign w:val="center"/>
          </w:tcPr>
          <w:p w14:paraId="46F9FE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国际组织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FFFFFF"/>
            <w:noWrap w:val="0"/>
            <w:vAlign w:val="center"/>
          </w:tcPr>
          <w:p w14:paraId="4084E2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FFFFFF"/>
            <w:noWrap w:val="0"/>
            <w:vAlign w:val="center"/>
          </w:tcPr>
          <w:p w14:paraId="071D3F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0.05%</w:t>
            </w:r>
          </w:p>
        </w:tc>
      </w:tr>
      <w:tr w14:paraId="2464E6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5FA82D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军队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DDEBF7"/>
            <w:noWrap w:val="0"/>
            <w:vAlign w:val="center"/>
          </w:tcPr>
          <w:p w14:paraId="093A75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DDEBF7"/>
            <w:noWrap w:val="0"/>
            <w:vAlign w:val="center"/>
          </w:tcPr>
          <w:p w14:paraId="7901BB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0.05%</w:t>
            </w:r>
          </w:p>
        </w:tc>
      </w:tr>
      <w:tr w14:paraId="0EAF95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4910" w:type="dxa"/>
            <w:tcBorders>
              <w:top w:val="single" w:color="9BC2E6" w:sz="4" w:space="0"/>
              <w:left w:val="single" w:color="5B9BD5" w:sz="4" w:space="0"/>
              <w:bottom w:val="single" w:color="9BC2E6" w:sz="4" w:space="0"/>
              <w:right w:val="nil"/>
            </w:tcBorders>
            <w:shd w:val="clear" w:color="DDEBF7" w:fill="FFFFFF"/>
            <w:noWrap w:val="0"/>
            <w:vAlign w:val="center"/>
          </w:tcPr>
          <w:p w14:paraId="00328C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合计</w:t>
            </w:r>
          </w:p>
        </w:tc>
        <w:tc>
          <w:tcPr>
            <w:tcW w:w="2154" w:type="dxa"/>
            <w:tcBorders>
              <w:top w:val="single" w:color="9BC2E6" w:sz="4" w:space="0"/>
              <w:left w:val="nil"/>
              <w:bottom w:val="single" w:color="9BC2E6" w:sz="4" w:space="0"/>
              <w:right w:val="nil"/>
            </w:tcBorders>
            <w:shd w:val="clear" w:color="DDEBF7" w:fill="FFFFFF"/>
            <w:noWrap w:val="0"/>
            <w:vAlign w:val="center"/>
          </w:tcPr>
          <w:p w14:paraId="08F287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2121</w:t>
            </w:r>
          </w:p>
        </w:tc>
        <w:tc>
          <w:tcPr>
            <w:tcW w:w="1854" w:type="dxa"/>
            <w:tcBorders>
              <w:top w:val="single" w:color="9BC2E6" w:sz="4" w:space="0"/>
              <w:left w:val="nil"/>
              <w:bottom w:val="single" w:color="9BC2E6" w:sz="4" w:space="0"/>
              <w:right w:val="single" w:color="5B9BD5" w:sz="4" w:space="0"/>
            </w:tcBorders>
            <w:shd w:val="clear" w:color="DDEBF7" w:fill="FFFFFF"/>
            <w:noWrap w:val="0"/>
            <w:vAlign w:val="center"/>
          </w:tcPr>
          <w:p w14:paraId="723366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left="0" w:leftChars="0" w:right="0" w:rightChars="0" w:firstLine="480" w:firstLineChars="20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100.00%</w:t>
            </w:r>
          </w:p>
        </w:tc>
      </w:tr>
    </w:tbl>
    <w:p w14:paraId="4D2AC087">
      <w:pPr>
        <w:pStyle w:val="8"/>
        <w:spacing w:before="0" w:beforeAutospacing="0" w:after="0"/>
        <w:ind w:left="0" w:leftChars="0" w:firstLine="0" w:firstLineChars="0"/>
        <w:rPr>
          <w:rFonts w:hint="default"/>
          <w:lang w:val="en-US" w:eastAsia="zh-CN"/>
        </w:rPr>
      </w:pPr>
    </w:p>
    <w:p w14:paraId="5619653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（四）按地域</w:t>
      </w:r>
    </w:p>
    <w:p w14:paraId="24A57A7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见表6和表7，2025 届毕业生就业地域分布延续 2024 届格局，基本无变动，以东部地区为核心就业区域，其中河北省凭借地域邻近、就业资源适配等优势成为首要选择，北京、天津、山东等周边省市形成补充，反映出毕业生就业地域偏好稳定且倾向于资源集中、适配性强的区域。2025届毕业生在西部地区就业的毕业生多选择青海、宁夏回族自治区、内蒙古等地，2025届中部地区以河南、安徽、山西为主。</w:t>
      </w:r>
    </w:p>
    <w:p w14:paraId="7958850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001BCDB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表6 2025届毕业生</w:t>
      </w:r>
      <w:r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就业单位行业分布</w:t>
      </w: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表（按地域划分）</w:t>
      </w:r>
    </w:p>
    <w:tbl>
      <w:tblPr>
        <w:tblStyle w:val="9"/>
        <w:tblpPr w:leftFromText="180" w:rightFromText="180" w:vertAnchor="text" w:horzAnchor="page" w:tblpX="1952" w:tblpY="117"/>
        <w:tblOverlap w:val="never"/>
        <w:tblW w:w="847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49"/>
        <w:gridCol w:w="2308"/>
        <w:gridCol w:w="3122"/>
      </w:tblGrid>
      <w:tr w14:paraId="43C300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1" w:hRule="atLeast"/>
        </w:trPr>
        <w:tc>
          <w:tcPr>
            <w:tcW w:w="3049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noWrap/>
            <w:vAlign w:val="center"/>
          </w:tcPr>
          <w:p w14:paraId="19B9C8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jc w:val="both"/>
              <w:textAlignment w:val="center"/>
              <w:outlineLvl w:val="9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就业地区分布</w:t>
            </w:r>
          </w:p>
        </w:tc>
        <w:tc>
          <w:tcPr>
            <w:tcW w:w="230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noWrap/>
            <w:vAlign w:val="center"/>
          </w:tcPr>
          <w:p w14:paraId="769122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jc w:val="both"/>
              <w:textAlignment w:val="center"/>
              <w:outlineLvl w:val="9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2025届专科落实人数</w:t>
            </w:r>
          </w:p>
        </w:tc>
        <w:tc>
          <w:tcPr>
            <w:tcW w:w="3122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noWrap/>
            <w:vAlign w:val="center"/>
          </w:tcPr>
          <w:p w14:paraId="7CFF0C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ind w:firstLine="442" w:firstLineChars="200"/>
              <w:jc w:val="both"/>
              <w:textAlignment w:val="center"/>
              <w:outlineLvl w:val="9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sz w:val="22"/>
                <w:szCs w:val="22"/>
                <w:highlight w:val="none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>各分部占比</w:t>
            </w:r>
          </w:p>
        </w:tc>
      </w:tr>
      <w:tr w14:paraId="09A45D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049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noWrap/>
            <w:vAlign w:val="center"/>
          </w:tcPr>
          <w:p w14:paraId="17BE25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jc w:val="both"/>
              <w:textAlignment w:val="center"/>
              <w:outlineLvl w:val="9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230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noWrap/>
            <w:vAlign w:val="center"/>
          </w:tcPr>
          <w:p w14:paraId="75A026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jc w:val="both"/>
              <w:textAlignment w:val="center"/>
              <w:outlineLvl w:val="9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</w:pPr>
          </w:p>
        </w:tc>
        <w:tc>
          <w:tcPr>
            <w:tcW w:w="3122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noWrap/>
            <w:vAlign w:val="center"/>
          </w:tcPr>
          <w:p w14:paraId="4C1B42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570" w:lineRule="exact"/>
              <w:ind w:firstLine="442" w:firstLineChars="200"/>
              <w:jc w:val="both"/>
              <w:textAlignment w:val="center"/>
              <w:outlineLvl w:val="9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</w:pPr>
          </w:p>
        </w:tc>
      </w:tr>
      <w:tr w14:paraId="0DC9B4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0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7276C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东部</w:t>
            </w:r>
          </w:p>
        </w:tc>
        <w:tc>
          <w:tcPr>
            <w:tcW w:w="230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9321D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2011</w:t>
            </w:r>
          </w:p>
        </w:tc>
        <w:tc>
          <w:tcPr>
            <w:tcW w:w="312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68506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94.64%</w:t>
            </w:r>
          </w:p>
        </w:tc>
      </w:tr>
      <w:tr w14:paraId="4FB591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049" w:type="dxa"/>
            <w:tcBorders>
              <w:top w:val="nil"/>
              <w:left w:val="nil"/>
              <w:bottom w:val="nil"/>
              <w:right w:val="nil"/>
            </w:tcBorders>
            <w:shd w:val="clear" w:color="auto" w:fill="EEF4FB"/>
            <w:noWrap/>
            <w:vAlign w:val="center"/>
          </w:tcPr>
          <w:p w14:paraId="1B9A5D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西部</w:t>
            </w:r>
          </w:p>
        </w:tc>
        <w:tc>
          <w:tcPr>
            <w:tcW w:w="2308" w:type="dxa"/>
            <w:tcBorders>
              <w:top w:val="nil"/>
              <w:left w:val="nil"/>
              <w:bottom w:val="nil"/>
              <w:right w:val="nil"/>
            </w:tcBorders>
            <w:shd w:val="clear" w:color="auto" w:fill="EEF4FB"/>
            <w:noWrap/>
            <w:vAlign w:val="center"/>
          </w:tcPr>
          <w:p w14:paraId="2C033A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50</w:t>
            </w:r>
          </w:p>
        </w:tc>
        <w:tc>
          <w:tcPr>
            <w:tcW w:w="3122" w:type="dxa"/>
            <w:tcBorders>
              <w:top w:val="nil"/>
              <w:left w:val="nil"/>
              <w:bottom w:val="nil"/>
              <w:right w:val="nil"/>
            </w:tcBorders>
            <w:shd w:val="clear" w:color="auto" w:fill="EEF4FB"/>
            <w:noWrap/>
            <w:vAlign w:val="center"/>
          </w:tcPr>
          <w:p w14:paraId="72C41A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2.35%</w:t>
            </w:r>
          </w:p>
        </w:tc>
      </w:tr>
      <w:tr w14:paraId="47F57C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0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19B65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中部</w:t>
            </w:r>
          </w:p>
        </w:tc>
        <w:tc>
          <w:tcPr>
            <w:tcW w:w="230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94491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64</w:t>
            </w:r>
          </w:p>
        </w:tc>
        <w:tc>
          <w:tcPr>
            <w:tcW w:w="312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94F4F1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3.01%</w:t>
            </w:r>
          </w:p>
        </w:tc>
      </w:tr>
      <w:tr w14:paraId="72EF07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6" w:hRule="atLeast"/>
        </w:trPr>
        <w:tc>
          <w:tcPr>
            <w:tcW w:w="3049" w:type="dxa"/>
            <w:tcBorders>
              <w:top w:val="nil"/>
              <w:left w:val="nil"/>
              <w:bottom w:val="single" w:color="5B9BD5" w:sz="4" w:space="0"/>
              <w:right w:val="nil"/>
            </w:tcBorders>
            <w:shd w:val="clear" w:color="auto" w:fill="EEF4FB"/>
            <w:noWrap/>
            <w:vAlign w:val="center"/>
          </w:tcPr>
          <w:p w14:paraId="659AF7B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合计</w:t>
            </w:r>
          </w:p>
        </w:tc>
        <w:tc>
          <w:tcPr>
            <w:tcW w:w="2308" w:type="dxa"/>
            <w:tcBorders>
              <w:top w:val="nil"/>
              <w:left w:val="nil"/>
              <w:bottom w:val="single" w:color="5B9BD5" w:sz="4" w:space="0"/>
              <w:right w:val="nil"/>
            </w:tcBorders>
            <w:shd w:val="clear" w:color="auto" w:fill="EEF4FB"/>
            <w:noWrap/>
            <w:vAlign w:val="center"/>
          </w:tcPr>
          <w:p w14:paraId="161A7A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2125</w:t>
            </w:r>
          </w:p>
        </w:tc>
        <w:tc>
          <w:tcPr>
            <w:tcW w:w="3122" w:type="dxa"/>
            <w:tcBorders>
              <w:top w:val="nil"/>
              <w:left w:val="nil"/>
              <w:bottom w:val="single" w:color="5B9BD5" w:sz="4" w:space="0"/>
              <w:right w:val="nil"/>
            </w:tcBorders>
            <w:shd w:val="clear" w:color="auto" w:fill="EEF4FB"/>
            <w:noWrap/>
            <w:vAlign w:val="center"/>
          </w:tcPr>
          <w:p w14:paraId="2EFE9F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before="0" w:beforeAutospacing="0" w:after="0" w:afterAutospacing="0" w:line="570" w:lineRule="exact"/>
              <w:ind w:right="0" w:rightChars="0"/>
              <w:jc w:val="both"/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lang w:val="en-US" w:eastAsia="zh-CN" w:bidi="ar"/>
              </w:rPr>
              <w:t>100.00%</w:t>
            </w:r>
          </w:p>
        </w:tc>
      </w:tr>
    </w:tbl>
    <w:p w14:paraId="094C555F">
      <w:pPr>
        <w:pStyle w:val="8"/>
        <w:spacing w:before="0" w:beforeAutospacing="0" w:after="0"/>
        <w:ind w:left="0" w:leftChars="0" w:firstLine="0" w:firstLineChars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7335733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表7 2025届毕业生就业地区省份分布图</w:t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344805</wp:posOffset>
            </wp:positionV>
            <wp:extent cx="5306695" cy="2242185"/>
            <wp:effectExtent l="4445" t="4445" r="22860" b="20320"/>
            <wp:wrapNone/>
            <wp:docPr id="2" name="图表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anchor>
        </w:drawing>
      </w:r>
    </w:p>
    <w:p w14:paraId="7AFA357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7135E35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2A6FEA0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jc w:val="both"/>
        <w:textAlignment w:val="auto"/>
        <w:outlineLvl w:val="0"/>
        <w:rPr>
          <w:rFonts w:hint="eastAsia"/>
          <w:lang w:val="en-US" w:eastAsia="zh-CN"/>
        </w:rPr>
      </w:pPr>
    </w:p>
    <w:p w14:paraId="6AE33FD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 xml:space="preserve"> 5.按重点地区就业</w:t>
      </w:r>
    </w:p>
    <w:p w14:paraId="44CE4C8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2025届毕业生中选择京津冀地区、东部地区就业的分别占就业人数的89.32%、94.64%，相较 2024届，2025 届毕毕业生奔赴重大国家战略所涉及省份就业人数的比例几乎持平。</w:t>
      </w:r>
    </w:p>
    <w:p w14:paraId="1BAFA89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学校始终将就业引导工作与国家发展大局深度绑定，持续聚焦实体经济发展需求，主动对接京津冀协同发展、西部大开发等重大国家战略，立足区域产业布局与人才需求导向，通过构建“政策解读 + 岗位对接 + 成长赋能”三位一体的精准服务体系，从战略认知引导、重点区域岗位挖掘、个性化求职帮扶等多维度精准施策、靶向发力，切实打通毕业生赴国家重点地区、重点领域就业的“最后一公里”，大力鼓励和支持毕业生将个人职业发展融入国家建设，在关键领域建功立业、实现价值。</w:t>
      </w:r>
    </w:p>
    <w:p w14:paraId="431BAB7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（五）自主创业</w:t>
      </w:r>
    </w:p>
    <w:p w14:paraId="3656D51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2025 届毕业生自主创业人数13人，占比0.49%，较2024 届37人有所下降，由于创业市场竞争加剧、初创资金与风险压力叠加，导致更多毕业生趋向于稳定的单位就业，但自主创业是践行创新精神、实现个人价值的重要路径，既能为社会创造就业岗位，也能赋能产业发展，我校将继续秉持创新引领理念，以政策扶持、资源对接、平台孵化赋能毕业生自主创业，鼓励青年学子敢闯敢试、逐梦实干。</w:t>
      </w:r>
    </w:p>
    <w:p w14:paraId="2B59D21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（六）毕业生专升本升学</w:t>
      </w:r>
    </w:p>
    <w:p w14:paraId="0D912D9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202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5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届毕业生继续深造人数共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98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人，占毕业生总人数的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3.6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%。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较2024届毕业生升学人数的45有所增加，由于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毕业生的升学意识持续强化，越来越多学生将提升学历、精进专业能力视为增强就业核心竞争力的重要路径。毕业生对长远职业发展的规划意识不断提升，主动选择继续深造以深耕专业领域、拓宽知识边界，从而更好地适配日益提高的行业岗位需求，推动了升学人数的稳步增加。</w:t>
      </w:r>
    </w:p>
    <w:p w14:paraId="51102AE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35BC98C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3CDCCDF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10515E8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6BBB473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1FC7D46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58FF02F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2A3DEFA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1FE640A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7E59F15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79454CE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443C239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1E2B8B89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黑体" w:hAnsi="黑体" w:eastAsia="黑体" w:cs="黑体"/>
          <w:b w:val="0"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/>
          <w:kern w:val="2"/>
          <w:sz w:val="32"/>
          <w:szCs w:val="32"/>
          <w:lang w:val="en-US" w:eastAsia="zh-CN" w:bidi="ar-SA"/>
        </w:rPr>
        <w:t>第二章 就业工作重点举措</w:t>
      </w:r>
    </w:p>
    <w:p w14:paraId="1F43B67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楷体" w:hAnsi="楷体" w:eastAsia="楷体" w:cs="楷体"/>
          <w:b w:val="0"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  <w:t>一、</w:t>
      </w:r>
      <w:r>
        <w:rPr>
          <w:rFonts w:hint="default" w:ascii="楷体" w:hAnsi="楷体" w:eastAsia="楷体" w:cs="楷体"/>
          <w:b w:val="0"/>
          <w:bCs/>
          <w:sz w:val="32"/>
          <w:szCs w:val="32"/>
          <w:lang w:val="en-US" w:eastAsia="zh-CN"/>
        </w:rPr>
        <w:t>出台就业制度体系</w:t>
      </w:r>
    </w:p>
    <w:p w14:paraId="6A54148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本年度，我校锚定高质量就业核心目标，以制度化建设为抓手，系统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计划并修改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完善就业工作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制度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。先后制定并修订《毕业生就业工作实施方案》《就业创业工作考评办法》《访企拓岗报销制度》《困难群体毕业生就业能力培训方案》及《就业监测数据自查实施办法》等一系列覆盖就业全流程的制度文件，构建起目标清晰、权责明确、机制完善、保障有力的就业工作制度体系。这套制度既明确了就业工作的实施路径与考评标准，又为访企拓岗、困难帮扶、数据监测等关键环节提供了规范化指引，为各项就业任务高效落地筑牢制度根基，切实推动就业工作从“粗放推进”向“精准施策” 转变。</w:t>
      </w:r>
    </w:p>
    <w:p w14:paraId="35DA4C3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楷体" w:hAnsi="楷体" w:eastAsia="楷体" w:cs="楷体"/>
          <w:b w:val="0"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  <w:t>二、</w:t>
      </w:r>
      <w:r>
        <w:rPr>
          <w:rFonts w:hint="default" w:ascii="楷体" w:hAnsi="楷体" w:eastAsia="楷体" w:cs="楷体"/>
          <w:b w:val="0"/>
          <w:bCs/>
          <w:sz w:val="32"/>
          <w:szCs w:val="32"/>
          <w:lang w:val="en-US" w:eastAsia="zh-CN"/>
        </w:rPr>
        <w:t>毕业生就业管理规范有序</w:t>
      </w:r>
    </w:p>
    <w:p w14:paraId="4EE9429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（一）</w:t>
      </w:r>
      <w:r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  <w:t>2025 届毕业生去向登记与核查</w:t>
      </w:r>
    </w:p>
    <w:p w14:paraId="266892B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我校严格遵循教育部就业工作相关要求，扎实推进 2025 届毕业生去向登记与数据审核工作。全面落实院校两级联动审核机制，明确各层级审核责任，对毕业生就业协议签订、去向类别认定等关键信息进行层层把关，确保数据真实准确。同时，建立去向登记进度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台账，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定期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在就业工作群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实时更新进展，实现就业数据动态监测、及时纠偏。为进一步规范就业统计工作，我校严格执行 “三不得”“四不准” 纪律要求，于 6—8 月集中开展就业数据专项核查行动，创新采用自查自纠、交叉互查、随机抽查相结合的立体化核查模式，对登记存疑数据逐一核实、限期整改，确保就业数据零差错、零遗漏，并于 7 月按时高质量完成核查报告撰写与上报工作。</w:t>
      </w:r>
    </w:p>
    <w:p w14:paraId="2E898E9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603885</wp:posOffset>
            </wp:positionH>
            <wp:positionV relativeFrom="paragraph">
              <wp:posOffset>-840740</wp:posOffset>
            </wp:positionV>
            <wp:extent cx="3903345" cy="5710555"/>
            <wp:effectExtent l="0" t="0" r="4445" b="1905"/>
            <wp:wrapNone/>
            <wp:docPr id="6" name="图片 6" descr="ed3a997def6cc67ecf510574b5738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ed3a997def6cc67ecf510574b5738a0"/>
                    <pic:cNvPicPr>
                      <a:picLocks noChangeAspect="1"/>
                    </pic:cNvPicPr>
                  </pic:nvPicPr>
                  <pic:blipFill>
                    <a:blip r:embed="rId15">
                      <a:lum contrast="18000"/>
                    </a:blip>
                    <a:srcRect l="3955" t="-23" r="4710" b="-5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03345" cy="5710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59A9C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5EF383E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2522643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5B6B82F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5BF4133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147ABFF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0C0D3E7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5DFDAA4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044E604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70CCDA3D">
      <w:pPr>
        <w:pStyle w:val="8"/>
        <w:rPr>
          <w:rFonts w:hint="default"/>
          <w:lang w:val="en-US" w:eastAsia="zh-CN"/>
        </w:rPr>
      </w:pPr>
    </w:p>
    <w:p w14:paraId="117DD98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2880" w:firstLineChars="1200"/>
        <w:jc w:val="both"/>
        <w:textAlignment w:val="auto"/>
        <w:outlineLvl w:val="0"/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图1 就业相关制度方案</w:t>
      </w:r>
    </w:p>
    <w:p w14:paraId="35C57BC2">
      <w:pPr>
        <w:pStyle w:val="8"/>
        <w:rPr>
          <w:rFonts w:hint="default"/>
          <w:lang w:val="en-US" w:eastAsia="zh-CN"/>
        </w:rPr>
      </w:pPr>
    </w:p>
    <w:p w14:paraId="2C093D5C">
      <w:pPr>
        <w:pStyle w:val="8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135245" cy="3115945"/>
            <wp:effectExtent l="0" t="0" r="0" b="8255"/>
            <wp:docPr id="3" name="图片 3" descr="99e9cb5fbf712c4cbeb25ad6090f8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99e9cb5fbf712c4cbeb25ad6090f8f9"/>
                    <pic:cNvPicPr>
                      <a:picLocks noChangeAspect="1"/>
                    </pic:cNvPicPr>
                  </pic:nvPicPr>
                  <pic:blipFill>
                    <a:blip r:embed="rId16">
                      <a:lum bright="6000" contrast="30000"/>
                    </a:blip>
                    <a:srcRect l="-3232" t="1277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135245" cy="311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FDFB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图2 就业监测核查工作通知和实施方案</w:t>
      </w:r>
    </w:p>
    <w:p w14:paraId="111C6984">
      <w:pPr>
        <w:pStyle w:val="8"/>
        <w:spacing w:before="0" w:beforeAutospacing="0" w:after="0"/>
        <w:ind w:firstLine="0" w:firstLineChars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521F794B">
      <w:pPr>
        <w:pStyle w:val="8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4923790" cy="3695065"/>
            <wp:effectExtent l="0" t="0" r="10160" b="635"/>
            <wp:docPr id="4" name="图片 4" descr="2bbc39de508969eb628fbae65ab50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bbc39de508969eb628fbae65ab50c9"/>
                    <pic:cNvPicPr>
                      <a:picLocks noChangeAspect="1"/>
                    </pic:cNvPicPr>
                  </pic:nvPicPr>
                  <pic:blipFill>
                    <a:blip r:embed="rId17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790" cy="369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907B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图3 就业监测工作培训会</w:t>
      </w:r>
    </w:p>
    <w:p w14:paraId="61D6436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159375" cy="3869690"/>
            <wp:effectExtent l="0" t="0" r="3175" b="16510"/>
            <wp:docPr id="9" name="图片 9" descr="3b2f5458c19e6394da5f2595e808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3b2f5458c19e6394da5f2595e808320"/>
                    <pic:cNvPicPr>
                      <a:picLocks noChangeAspect="1"/>
                    </pic:cNvPicPr>
                  </pic:nvPicPr>
                  <pic:blipFill>
                    <a:blip r:embed="rId18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9375" cy="386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69CD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480" w:firstLineChars="200"/>
        <w:jc w:val="center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图4 就业监测工作培训会</w:t>
      </w:r>
    </w:p>
    <w:p w14:paraId="465EF14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（二）</w:t>
      </w:r>
      <w:r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  <w:t>就业状况跟踪调查与报告撰写</w:t>
      </w:r>
    </w:p>
    <w:p w14:paraId="68FB537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为精准把握毕业生就业质量，优化人才培养方案，我校于 9—10 月统筹开展 2023 届毕业生就业状况跟踪调查工作。本次调查覆盖面广、针对性强，共回收有效学生问卷 1385 份、企业问卷 348 份，覆盖全校 17 个专业，全面收集毕业生职业发展现状、岗位适配度、薪资水平等核心信息，以及用人单位对毕业生专业能力、职业素养的评价与建议。基于详实的调查数据，我校系统梳理分析，形成内容详实、数据支撑有力的就业状况跟踪调查报告，为学校调整专业设置、优化课程体系、强化实践教学提供了重要决策参考。与此同时，我校稳步推进 2025 届毕业生就业质量年度报告编制工作，通过多维度汇总就业数据、剖析就业特征、总结工作成效与不足，于 12 月圆满完成报告编写，为后续就业工作提质增效明确方向。</w:t>
      </w:r>
    </w:p>
    <w:p w14:paraId="0AA2A24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（三）</w:t>
      </w:r>
      <w:r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  <w:t>2026 届毕业生生源信息采集</w:t>
      </w: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、困难生</w:t>
      </w:r>
      <w:r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  <w:t>帮扶</w:t>
      </w: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和去向登记培训</w:t>
      </w:r>
    </w:p>
    <w:p w14:paraId="1858C96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我校提前谋划、主动作为，于 10 月底高质量完成2026届2182名毕业生生源信息的全面采集与系统录入工作。在信息采集过程中，安排专人负责指导毕业生填报信息，逐一对姓名、专业、生源地等关键数据进行核对校验，确保生源信息精准无误，为后续就业推荐、政策落实奠定坚实数据基础。</w:t>
      </w:r>
    </w:p>
    <w:p w14:paraId="20175C8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同时，聚焦困难毕业生群体，建立 “一人一档” 精准帮扶台账，详细记录家庭经济困难、就业困难等不同类型毕业生的基本情况、求职需求与帮扶进展，为开展个性化就业指导、岗位推荐等帮扶工作提供依据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，全年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坚持“集中授课 + 一对一指导” 相结合的模式全年累计开展专业小班和一对一帮扶指导几十余次，针对学生不同需求，面对面提供精准的简历修改、求职规划、心理疏导等精准帮扶，切实解决他们在求职过程中的痛点难点问题。此外，持续跟踪学生实习就业情况，定期与学生、就业联络员沟通，及时了解学生就业进展，协调解决面对寻找实习就业单位过程中遇到的问题，确保帮扶工作闭环落实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。</w:t>
      </w:r>
    </w:p>
    <w:p w14:paraId="310CDEF0">
      <w:pPr>
        <w:pStyle w:val="8"/>
        <w:ind w:left="0" w:leftChars="0" w:firstLine="0" w:firstLineChars="0"/>
        <w:rPr>
          <w:rFonts w:hint="eastAsia"/>
          <w:lang w:val="en-US" w:eastAsia="zh-CN"/>
        </w:rPr>
      </w:pPr>
    </w:p>
    <w:p w14:paraId="5F5ECE42">
      <w:pPr>
        <w:pStyle w:val="8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2880" cy="7019925"/>
            <wp:effectExtent l="0" t="0" r="13970" b="9525"/>
            <wp:docPr id="12" name="图片 12" descr="困难生心理指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困难生心理指导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6E29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640" w:firstLineChars="1100"/>
        <w:jc w:val="both"/>
        <w:textAlignment w:val="auto"/>
        <w:outlineLvl w:val="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图5一对一心理帮扶困难生</w:t>
      </w:r>
    </w:p>
    <w:p w14:paraId="357792F5">
      <w:pPr>
        <w:pStyle w:val="8"/>
        <w:rPr>
          <w:rFonts w:hint="eastAsia"/>
          <w:lang w:val="en-US" w:eastAsia="zh-CN"/>
        </w:rPr>
      </w:pPr>
    </w:p>
    <w:p w14:paraId="1C749E57">
      <w:pPr>
        <w:pStyle w:val="8"/>
        <w:rPr>
          <w:rFonts w:hint="eastAsia"/>
          <w:lang w:val="en-US" w:eastAsia="zh-CN"/>
        </w:rPr>
      </w:pPr>
    </w:p>
    <w:p w14:paraId="4E2C196A">
      <w:pPr>
        <w:pStyle w:val="8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0020" cy="5285740"/>
            <wp:effectExtent l="0" t="0" r="17780" b="10160"/>
            <wp:docPr id="16" name="图片 16" descr="困难毕业生帮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困难毕业生帮扶"/>
                    <pic:cNvPicPr>
                      <a:picLocks noChangeAspect="1"/>
                    </pic:cNvPicPr>
                  </pic:nvPicPr>
                  <pic:blipFill>
                    <a:blip r:embed="rId20"/>
                    <a:srcRect t="24704" r="434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528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F84C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640" w:firstLineChars="1100"/>
        <w:jc w:val="both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图6 小班集体帮扶指导</w:t>
      </w:r>
    </w:p>
    <w:p w14:paraId="32B5EF8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640" w:firstLineChars="1100"/>
        <w:jc w:val="both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184C9C3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35FF761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此外，为提升就业工作队伍业务能力，我校组织相关工作人员参加省级毕业生去向登记专项培训，学习先进工作方法与政策要求；并于 12 月开展校内辅导员专题培训，围绕生源信息管理、去向登记规范、困难帮扶技巧等内容进行系统讲解，全方位保障2026届毕业生去向登记工作规范有序推进。</w:t>
      </w:r>
    </w:p>
    <w:p w14:paraId="1D524BA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56B0983B">
      <w:pPr>
        <w:pStyle w:val="8"/>
        <w:rPr>
          <w:rFonts w:hint="default"/>
          <w:lang w:val="en-US" w:eastAsia="zh-CN"/>
        </w:rPr>
      </w:pPr>
    </w:p>
    <w:p w14:paraId="2A8D234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010150" cy="3757930"/>
            <wp:effectExtent l="0" t="0" r="0" b="13970"/>
            <wp:docPr id="18" name="图片 18" descr="6e0f8500dc8e64b2fd8b62d856ec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6e0f8500dc8e64b2fd8b62d856ec777"/>
                    <pic:cNvPicPr>
                      <a:picLocks noChangeAspect="1"/>
                    </pic:cNvPicPr>
                  </pic:nvPicPr>
                  <pic:blipFill>
                    <a:blip r:embed="rId21">
                      <a:lum contrast="1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1B75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640" w:firstLineChars="1100"/>
        <w:jc w:val="both"/>
        <w:textAlignment w:val="auto"/>
        <w:outlineLvl w:val="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图7 去向登记培训工作会</w:t>
      </w:r>
    </w:p>
    <w:p w14:paraId="365D2EB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楷体" w:hAnsi="楷体" w:eastAsia="楷体" w:cs="楷体"/>
          <w:b w:val="0"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  <w:t>三、</w:t>
      </w:r>
      <w:r>
        <w:rPr>
          <w:rFonts w:hint="default" w:ascii="楷体" w:hAnsi="楷体" w:eastAsia="楷体" w:cs="楷体"/>
          <w:b w:val="0"/>
          <w:bCs/>
          <w:sz w:val="32"/>
          <w:szCs w:val="32"/>
          <w:lang w:val="en-US" w:eastAsia="zh-CN"/>
        </w:rPr>
        <w:t>就业市场拓展与校园招聘服务</w:t>
      </w:r>
    </w:p>
    <w:p w14:paraId="116143A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（一）</w:t>
      </w:r>
      <w:r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  <w:t>就业市场拓展</w:t>
      </w:r>
    </w:p>
    <w:p w14:paraId="386078B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我校紧扣京津冀协同发展国家战略，聚焦区域产业发展需求，持续深化 “访企拓岗促就业” 专项行动。以 “精准对接、深化合作、共赢发展” 为原则，组建由校领导带队重点走访京津冀地区多家行业龙头企业、专精特新企业及重点用人单位，深入企业生产一线与人力资源部门，了解企业人才需求标准、岗位空缺情况与未来招聘计划，积极推介我校毕业生专业优势与综合素养。通过面对面沟通交流，我校与企业在人才输送、实习实训、产学研合作等方面达成多项共识，年内累计拓展超过 20 家紧密合作单位，搭建起稳定长效的校企合作桥梁，为毕业生挖掘更多优质就业岗位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资源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。</w:t>
      </w:r>
    </w:p>
    <w:p w14:paraId="3B3C44CE">
      <w:pPr>
        <w:pStyle w:val="8"/>
        <w:rPr>
          <w:rFonts w:hint="default"/>
          <w:lang w:val="en-US" w:eastAsia="zh-CN"/>
        </w:rPr>
      </w:pPr>
    </w:p>
    <w:p w14:paraId="25A6B31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257800" cy="3947160"/>
            <wp:effectExtent l="0" t="0" r="0" b="15240"/>
            <wp:docPr id="19" name="图片 19" descr="96742084083cc319d9ff6c7a3642f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96742084083cc319d9ff6c7a3642f2b"/>
                    <pic:cNvPicPr>
                      <a:picLocks noChangeAspect="1"/>
                    </pic:cNvPicPr>
                  </pic:nvPicPr>
                  <pic:blipFill>
                    <a:blip r:embed="rId22">
                      <a:lum contrast="24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8DAA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200" w:firstLineChars="5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图8 校领导与河北瑞昌玻璃纤维制品有限公司负责人交流</w:t>
      </w:r>
    </w:p>
    <w:p w14:paraId="691C876A">
      <w:pPr>
        <w:pStyle w:val="8"/>
        <w:ind w:left="0" w:leftChars="0" w:firstLine="0" w:firstLineChars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233670" cy="3924935"/>
            <wp:effectExtent l="0" t="0" r="5080" b="18415"/>
            <wp:docPr id="22" name="图片 22" descr="db84d013d374a321c6e4966d4f93c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db84d013d374a321c6e4966d4f93c3c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392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3B0B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120" w:firstLineChars="13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图9企业信息</w:t>
      </w:r>
    </w:p>
    <w:p w14:paraId="2C0CB1A8">
      <w:pPr>
        <w:pStyle w:val="8"/>
        <w:ind w:left="0" w:leftChars="0" w:firstLine="0" w:firstLineChars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23" name="图片 23" descr="带领学生参观企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带领学生参观企业"/>
                    <pic:cNvPicPr>
                      <a:picLocks noChangeAspect="1"/>
                    </pic:cNvPicPr>
                  </pic:nvPicPr>
                  <pic:blipFill>
                    <a:blip r:embed="rId24">
                      <a:lum contrast="1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969D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120" w:firstLineChars="13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图10带领学生参观企业</w:t>
      </w:r>
    </w:p>
    <w:p w14:paraId="06B2A5F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</w:pPr>
    </w:p>
    <w:p w14:paraId="332491B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（二）</w:t>
      </w:r>
      <w:r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  <w:t>校园双选会组织情况</w:t>
      </w:r>
    </w:p>
    <w:p w14:paraId="1EC9A0B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本年度，我校精准把握毕业生求职关键期，成功举办两场大型校园双选会，搭建高效对接的校企招聘平台，切实为毕业生拓宽就业渠道，取得显著成效。</w:t>
      </w:r>
    </w:p>
    <w:p w14:paraId="2E871D9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6 月，我校精心组织首场 “筑梦城经 职引未来” 校园双选会。本次双选会精准聚焦毕业生专业方向，共吸引61家涵盖信息技术、高端制造、金融服务、现代物流等多个领域的优质企业参会，累计提供岗位 2843 个，岗位需求与我校毕业生专业高度契合。为提升招聘服务质量，双选会现场创新设置招聘洽谈区、征兵政策咨询区、简历优化指导区及企业面试宣讲室等功能专区，为毕业生提供 “一站式” 求职服务。活动现场人头攒动，吸引超过 3000 名师生踊跃参与，累计收到毕业生有效简历748份，开展现场政策咨询1463人次，组织企业专场宣讲与面试活动百余人次，最终促成46名毕业生与用人单位现场签订三方就业协议。此次双选会不仅为毕业生搭建了直面优质企业的求职通道，更强化了校企之间的交流合作，为后续深化协同育人奠定基础。</w:t>
      </w:r>
    </w:p>
    <w:p w14:paraId="199E8C6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1AF8BDF1">
      <w:pPr>
        <w:pStyle w:val="8"/>
        <w:rPr>
          <w:rFonts w:hint="default"/>
          <w:lang w:val="en-US" w:eastAsia="zh-CN"/>
        </w:rPr>
      </w:pPr>
    </w:p>
    <w:p w14:paraId="195A2D25">
      <w:pPr>
        <w:pStyle w:val="8"/>
        <w:rPr>
          <w:rFonts w:hint="default"/>
          <w:lang w:val="en-US" w:eastAsia="zh-CN"/>
        </w:rPr>
      </w:pPr>
    </w:p>
    <w:p w14:paraId="0FCAA820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7800" cy="7124700"/>
            <wp:effectExtent l="0" t="0" r="0" b="0"/>
            <wp:docPr id="24" name="图片 24" descr="3a862b598e458ec91d82629bc3923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3a862b598e458ec91d82629bc39235f"/>
                    <pic:cNvPicPr>
                      <a:picLocks noChangeAspect="1"/>
                    </pic:cNvPicPr>
                  </pic:nvPicPr>
                  <pic:blipFill>
                    <a:blip r:embed="rId25">
                      <a:lum contrast="-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E1B3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120" w:firstLineChars="13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图11学生与企业签约</w:t>
      </w:r>
    </w:p>
    <w:p w14:paraId="76617E72">
      <w:pPr>
        <w:pStyle w:val="8"/>
        <w:rPr>
          <w:rFonts w:hint="default"/>
          <w:lang w:val="en-US" w:eastAsia="zh-CN"/>
        </w:rPr>
      </w:pPr>
    </w:p>
    <w:p w14:paraId="273AB215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7832090"/>
            <wp:effectExtent l="0" t="0" r="2540" b="16510"/>
            <wp:docPr id="25" name="图片 25" descr="ba959eba544186273e09a69beafab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ba959eba544186273e09a69beafabc1"/>
                    <pic:cNvPicPr>
                      <a:picLocks noChangeAspect="1"/>
                    </pic:cNvPicPr>
                  </pic:nvPicPr>
                  <pic:blipFill>
                    <a:blip r:embed="rId26">
                      <a:lum bright="6000"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3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2ACC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120" w:firstLineChars="13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图12学生参加招聘会</w:t>
      </w:r>
    </w:p>
    <w:p w14:paraId="2CED11AB">
      <w:pPr>
        <w:pStyle w:val="8"/>
        <w:rPr>
          <w:rFonts w:hint="default"/>
          <w:lang w:val="en-US" w:eastAsia="zh-CN"/>
        </w:rPr>
      </w:pPr>
    </w:p>
    <w:p w14:paraId="5553F623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040" cy="7101840"/>
            <wp:effectExtent l="0" t="0" r="3810" b="3810"/>
            <wp:docPr id="26" name="图片 26" descr="d9650a9bf8927fa6355d7f03c6dba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d9650a9bf8927fa6355d7f03c6dba06"/>
                    <pic:cNvPicPr>
                      <a:picLocks noChangeAspect="1"/>
                    </pic:cNvPicPr>
                  </pic:nvPicPr>
                  <pic:blipFill>
                    <a:blip r:embed="rId27">
                      <a:lum contrast="1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10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3077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120" w:firstLineChars="13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图13 书记校长了解企业信息</w:t>
      </w:r>
    </w:p>
    <w:p w14:paraId="1C4920F4">
      <w:pPr>
        <w:pStyle w:val="8"/>
        <w:rPr>
          <w:rFonts w:hint="default"/>
          <w:lang w:val="en-US" w:eastAsia="zh-CN"/>
        </w:rPr>
      </w:pPr>
    </w:p>
    <w:p w14:paraId="76ADB6CD">
      <w:pPr>
        <w:pStyle w:val="8"/>
        <w:rPr>
          <w:rFonts w:hint="default"/>
          <w:lang w:val="en-US" w:eastAsia="zh-CN"/>
        </w:rPr>
      </w:pPr>
    </w:p>
    <w:p w14:paraId="72BF2D09">
      <w:pPr>
        <w:pStyle w:val="8"/>
        <w:ind w:left="0" w:leftChars="0" w:firstLine="0" w:firstLineChars="0"/>
        <w:rPr>
          <w:rFonts w:hint="default"/>
          <w:lang w:val="en-US" w:eastAsia="zh-CN"/>
        </w:rPr>
      </w:pPr>
    </w:p>
    <w:p w14:paraId="6F9C46F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11 月，我校乘势而上，举办秋季 “‘就’在金秋 ‘职’达未来” 校园双选会 。本次双选会紧扣服务区域经济发展导向，重点邀请京津冀地区优质用人单位参会，55 家参会企业中，京津冀区域企业占比高达 82.10%，带来涵盖智能制造、商贸服务等领域的岗位3300余个，为毕业生提供丰富的区域就业选择。双选会吸引5000余名应届毕业生到场求职，现场投递简历超1000份，达成初步就业意向260余人。会场同步延续多功能专区服务模式，安排专业教师与就业指导人员为毕业生提供简历修改、面试技巧指导，同时组织多场企业宣讲会，帮助毕业生深入了解企业发展前景与岗位要求，进一步提升人岗匹配效率与招聘服务质量。两场双选会组织周密、内容充实、成效显著，不仅有效缓解了毕业生求职压力，更推动校企协同育人机制走深走实，为我校高质量就业工作注入强劲动力。</w:t>
      </w:r>
    </w:p>
    <w:p w14:paraId="22D7991D">
      <w:pPr>
        <w:pStyle w:val="8"/>
        <w:spacing w:before="0" w:beforeAutospacing="0" w:after="0" w:afterAutospacing="0"/>
        <w:ind w:firstLine="0" w:firstLineChars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 xml:space="preserve">    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4456430" cy="3340735"/>
            <wp:effectExtent l="0" t="0" r="1270" b="12065"/>
            <wp:docPr id="35" name="图片 35" descr="50648c31f54385c39bcd26c136ffe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50648c31f54385c39bcd26c136ffe83"/>
                    <pic:cNvPicPr>
                      <a:picLocks noChangeAspect="1"/>
                    </pic:cNvPicPr>
                  </pic:nvPicPr>
                  <pic:blipFill>
                    <a:blip r:embed="rId28">
                      <a:lum bright="6000" contrast="4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643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9079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120" w:firstLineChars="13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图14双选会方案与签到统计表</w:t>
      </w:r>
    </w:p>
    <w:p w14:paraId="2DF6CAED">
      <w:pPr>
        <w:pStyle w:val="8"/>
        <w:ind w:left="0" w:leftChars="0" w:firstLine="0" w:firstLineChars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262880" cy="7019925"/>
            <wp:effectExtent l="0" t="0" r="13970" b="9525"/>
            <wp:docPr id="28" name="图片 28" descr="双选会布置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双选会布置 (2)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EEC6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120" w:firstLineChars="13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图15双选会现场布置</w:t>
      </w:r>
    </w:p>
    <w:p w14:paraId="68708F55">
      <w:pPr>
        <w:pStyle w:val="8"/>
        <w:ind w:left="0" w:leftChars="0" w:firstLine="0" w:firstLineChars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1F66845F">
      <w:pPr>
        <w:pStyle w:val="8"/>
        <w:ind w:left="0" w:leftChars="0" w:firstLine="0" w:firstLineChars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262880" cy="7019925"/>
            <wp:effectExtent l="0" t="0" r="13970" b="9525"/>
            <wp:docPr id="27" name="图片 27" descr="双选会布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双选会布置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AD3A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120" w:firstLineChars="13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图16双选会现场安排</w:t>
      </w:r>
    </w:p>
    <w:p w14:paraId="67572E4A">
      <w:pPr>
        <w:pStyle w:val="8"/>
        <w:ind w:left="0" w:leftChars="0" w:firstLine="0" w:firstLineChars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1E4ABFA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266690" cy="3945255"/>
            <wp:effectExtent l="0" t="0" r="10160" b="17145"/>
            <wp:docPr id="34" name="图片 34" descr="a885df76fd3d675c69a12c04b782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a885df76fd3d675c69a12c04b78240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33" name="图片 33" descr="ab6c572a1c8ed17bff122f68934bb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ab6c572a1c8ed17bff122f68934bb3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E4E6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640" w:firstLineChars="11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图17校领导深入招聘会现场</w:t>
      </w:r>
    </w:p>
    <w:p w14:paraId="197B4E74">
      <w:pPr>
        <w:pStyle w:val="8"/>
        <w:rPr>
          <w:rFonts w:hint="default"/>
          <w:lang w:val="en-US" w:eastAsia="zh-CN"/>
        </w:rPr>
      </w:pPr>
    </w:p>
    <w:p w14:paraId="04B79A0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30" name="图片 30" descr="ed43d75bf6049752e233bec677203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ed43d75bf6049752e233bec677203da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6840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120" w:firstLineChars="1300"/>
        <w:jc w:val="both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图18校园双选会现场</w:t>
      </w:r>
    </w:p>
    <w:p w14:paraId="76AB60B8">
      <w:pPr>
        <w:pStyle w:val="8"/>
        <w:rPr>
          <w:rFonts w:hint="default"/>
          <w:lang w:val="en-US" w:eastAsia="zh-CN"/>
        </w:rPr>
      </w:pPr>
    </w:p>
    <w:p w14:paraId="3FA414D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29" name="图片 29" descr="f7f4ae11d1b6c3587847936d56f4c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7f4ae11d1b6c3587847936d56f4c6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0E6D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120" w:firstLineChars="13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图19企业宣讲与现场面试</w:t>
      </w:r>
    </w:p>
    <w:p w14:paraId="4906330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</w:pPr>
    </w:p>
    <w:p w14:paraId="2CCDAE4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楷体" w:hAnsi="楷体" w:eastAsia="楷体" w:cs="楷体"/>
          <w:b w:val="0"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  <w:t>四、</w:t>
      </w:r>
      <w:r>
        <w:rPr>
          <w:rFonts w:hint="default" w:ascii="楷体" w:hAnsi="楷体" w:eastAsia="楷体" w:cs="楷体"/>
          <w:b w:val="0"/>
          <w:bCs/>
          <w:sz w:val="32"/>
          <w:szCs w:val="32"/>
          <w:lang w:val="en-US" w:eastAsia="zh-CN"/>
        </w:rPr>
        <w:t>就业扶持与能力提升</w:t>
      </w:r>
    </w:p>
    <w:p w14:paraId="2E0FF6F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（一）</w:t>
      </w:r>
      <w:r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  <w:t>求职补贴申领发放</w:t>
      </w:r>
    </w:p>
    <w:p w14:paraId="4C81CAD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我校高度重视困难毕业生就业帮扶工作，严格按照上级部门政策要求，精准摸排、规范审核，顺利完成 2026 届困难毕业生求职补贴申报与资金申领工作。通过前期广泛宣传政策、组织毕业生自主申报，再经班级推荐、学院审核、学校公示等多道程序，确保补贴发放公开、公平、公正。本次共分两批为130名符合条件的困难毕业生申请到求职补贴，补贴金额总计26 万元。这笔补贴有效缓解了困难毕业生在求职过程中的交通、住宿、简历制作等费用压力，为他们安心求职、顺利就业提供了有力的经济支持。</w:t>
      </w:r>
    </w:p>
    <w:p w14:paraId="19AAEA6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38" name="图片 38" descr="9c96735765ec2c846c515462ec51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9c96735765ec2c846c515462ec51782"/>
                    <pic:cNvPicPr>
                      <a:picLocks noChangeAspect="1"/>
                    </pic:cNvPicPr>
                  </pic:nvPicPr>
                  <pic:blipFill>
                    <a:blip r:embed="rId35">
                      <a:lum bright="6000" contrast="24000"/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B9B4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3120" w:firstLineChars="13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图20求职补贴通知与方案</w:t>
      </w:r>
    </w:p>
    <w:p w14:paraId="62A53C26">
      <w:pPr>
        <w:pStyle w:val="8"/>
        <w:ind w:left="0" w:leftChars="0" w:firstLine="0" w:firstLineChars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02A80D8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（二）</w:t>
      </w:r>
      <w:r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  <w:t>困难群体就业能力培训</w:t>
      </w:r>
    </w:p>
    <w:p w14:paraId="7947F9B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为助力困难毕业生提升求职竞争力，我校于10—11月针对性开展困难毕业生就业能力专项培训。本次培训覆盖 113 名困难毕业生，课程设置紧贴求职实际需求，围绕简历制作技巧、面试礼仪与应答策略、职业规划制定、求职心态调整等核心内容，精心设计16课时的集中授课，并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由就业处教师多次听课巡查，与授课老师了解学生学习情况、授课进程，达成有效沟通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。同时，为加强就业指导师资队伍建设，我校选派2 名经验丰富的就业指导教师参加省级就业指导师资专项培训，学习前沿的就业指导理念与方法，进一步提升我校就业指导队伍的专业化水平，为开展更高质量的就业帮扶工作储备力量。</w:t>
      </w:r>
    </w:p>
    <w:p w14:paraId="15AE2F4D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42" name="图片 42" descr="3a247c9c127923df6bcb0faf27a19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3a247c9c127923df6bcb0faf27a195c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725C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440" w:firstLineChars="600"/>
        <w:jc w:val="both"/>
        <w:textAlignment w:val="auto"/>
        <w:outlineLvl w:val="0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图21困难毕业生就业能力培训高校师资培训材料</w:t>
      </w:r>
    </w:p>
    <w:p w14:paraId="2E15A5E8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43" name="图片 43" descr="1da2b4c6e987110fe217336a3675d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da2b4c6e987110fe217336a3675d17"/>
                    <pic:cNvPicPr>
                      <a:picLocks noChangeAspect="1"/>
                    </pic:cNvPicPr>
                  </pic:nvPicPr>
                  <pic:blipFill>
                    <a:blip r:embed="rId37">
                      <a:lum bright="-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69D9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920" w:firstLineChars="800"/>
        <w:jc w:val="both"/>
        <w:textAlignment w:val="auto"/>
        <w:outlineLvl w:val="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图22困难毕业生就业能力培训高校师资培训现场</w:t>
      </w:r>
    </w:p>
    <w:p w14:paraId="3344D4FE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44" name="图片 44" descr="b282c327c4af75b7aba7c95fe048e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b282c327c4af75b7aba7c95fe048e4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EB4E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440" w:firstLineChars="600"/>
        <w:jc w:val="both"/>
        <w:textAlignment w:val="auto"/>
        <w:outlineLvl w:val="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图23困难毕业生就业能力培训高校师资培训现场</w:t>
      </w:r>
    </w:p>
    <w:p w14:paraId="18348698">
      <w:pPr>
        <w:pStyle w:val="8"/>
        <w:spacing w:before="0" w:beforeAutospacing="0" w:after="0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939540" cy="5257165"/>
            <wp:effectExtent l="0" t="0" r="635" b="3810"/>
            <wp:docPr id="39" name="图片 39" descr="ed3a997def6cc67ecf510574b5738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ed3a997def6cc67ecf510574b5738a0"/>
                    <pic:cNvPicPr>
                      <a:picLocks noChangeAspect="1"/>
                    </pic:cNvPicPr>
                  </pic:nvPicPr>
                  <pic:blipFill>
                    <a:blip r:embed="rId39">
                      <a:lum contrast="30000"/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39540" cy="525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A12F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440" w:firstLineChars="600"/>
        <w:jc w:val="center"/>
        <w:textAlignment w:val="auto"/>
        <w:outlineLvl w:val="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图24困难毕业生就业能力培训工作通知和方案</w:t>
      </w:r>
    </w:p>
    <w:p w14:paraId="16A31728">
      <w:pPr>
        <w:pStyle w:val="8"/>
        <w:rPr>
          <w:rFonts w:hint="default"/>
          <w:lang w:val="en-US" w:eastAsia="zh-CN"/>
        </w:rPr>
      </w:pPr>
    </w:p>
    <w:p w14:paraId="510BB35B">
      <w:pPr>
        <w:pStyle w:val="8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k</w:t>
      </w:r>
      <w:r>
        <w:rPr>
          <w:rFonts w:hint="default"/>
          <w:lang w:val="en-US" w:eastAsia="zh-CN"/>
        </w:rPr>
        <w:drawing>
          <wp:inline distT="0" distB="0" distL="114300" distR="114300">
            <wp:extent cx="6212840" cy="4919980"/>
            <wp:effectExtent l="0" t="0" r="13970" b="16510"/>
            <wp:docPr id="41" name="图片 41" descr="6e1c7a8b25f07a7716a6f11a544a0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6e1c7a8b25f07a7716a6f11a544a09f"/>
                    <pic:cNvPicPr>
                      <a:picLocks noChangeAspect="1"/>
                    </pic:cNvPicPr>
                  </pic:nvPicPr>
                  <pic:blipFill>
                    <a:blip r:embed="rId40">
                      <a:lum bright="-18000" contrast="24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12840" cy="491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65D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1920" w:firstLineChars="800"/>
        <w:jc w:val="both"/>
        <w:textAlignment w:val="auto"/>
        <w:outlineLvl w:val="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图25 困难毕业生就业能力培训通知和课表</w:t>
      </w:r>
    </w:p>
    <w:p w14:paraId="3A5CA95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3" w:firstLineChars="200"/>
        <w:jc w:val="left"/>
        <w:textAlignment w:val="auto"/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 w:val="0"/>
          <w:sz w:val="32"/>
          <w:szCs w:val="32"/>
          <w:lang w:val="en-US" w:eastAsia="zh-CN"/>
        </w:rPr>
        <w:t>（三）</w:t>
      </w:r>
      <w:r>
        <w:rPr>
          <w:rFonts w:hint="default" w:ascii="仿宋" w:hAnsi="仿宋" w:eastAsia="仿宋" w:cs="仿宋"/>
          <w:b/>
          <w:bCs w:val="0"/>
          <w:sz w:val="32"/>
          <w:szCs w:val="32"/>
          <w:lang w:val="en-US" w:eastAsia="zh-CN"/>
        </w:rPr>
        <w:t>以赛赋能</w:t>
      </w:r>
    </w:p>
    <w:p w14:paraId="764BB05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我校坚持以赛促学、以赛促练、以赛促创，通过举办高水平竞赛，全面提升学生的创新创业能力与职业规划意识。5月，我校成功组织“学创杯” 大学生创业综合模拟大赛校内选拔赛。大赛设置</w:t>
      </w:r>
      <w:r>
        <w:rPr>
          <w:rFonts w:hint="eastAsia" w:ascii="仿宋" w:hAnsi="仿宋" w:eastAsia="仿宋" w:cs="仿宋"/>
          <w:b w:val="0"/>
          <w:bCs/>
          <w:sz w:val="32"/>
          <w:szCs w:val="32"/>
          <w:lang w:val="en-US" w:eastAsia="zh-CN"/>
        </w:rPr>
        <w:t>三</w:t>
      </w: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个赛道，吸引全校各专业45组团队踊跃参赛。参赛团队围绕市场分析、项目策划、商业模式构建等核心环节展开激烈角逐，展现出扎实的专业知识与卓越的创新思维。经过层层选拔，9组优秀团队脱颖而出，成功晋级省级决赛。在省级赛事中，我校参赛团队凭借出色的表现斩获数字营销赛道二等奖，充分彰显了我校学生的创新创业实力。</w:t>
      </w:r>
    </w:p>
    <w:p w14:paraId="74D5C4FF">
      <w:pPr>
        <w:pStyle w:val="8"/>
        <w:ind w:left="0" w:leftChars="0" w:firstLine="0" w:firstLineChars="0"/>
        <w:rPr>
          <w:rFonts w:hint="default"/>
          <w:lang w:val="en-US" w:eastAsia="zh-CN"/>
        </w:rPr>
      </w:pPr>
    </w:p>
    <w:p w14:paraId="6E46B338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55" name="图片 55" descr="f2574c93a5334e4a785be09598ca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f2574c93a5334e4a785be09598ca777"/>
                    <pic:cNvPicPr>
                      <a:picLocks noChangeAspect="1"/>
                    </pic:cNvPicPr>
                  </pic:nvPicPr>
                  <pic:blipFill>
                    <a:blip r:embed="rId41">
                      <a:lum bright="6000" contrast="24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A28C1">
      <w:pPr>
        <w:pStyle w:val="8"/>
        <w:ind w:firstLine="2400" w:firstLineChars="100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图26学创杯赛事培训会议</w:t>
      </w:r>
    </w:p>
    <w:p w14:paraId="239A2856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56" name="图片 56" descr="893c176e191d1b1c83d7037e43c62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893c176e191d1b1c83d7037e43c624b"/>
                    <pic:cNvPicPr>
                      <a:picLocks noChangeAspect="1"/>
                    </pic:cNvPicPr>
                  </pic:nvPicPr>
                  <pic:blipFill>
                    <a:blip r:embed="rId42">
                      <a:lum bright="12000" contrast="24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8E1BF">
      <w:pPr>
        <w:pStyle w:val="8"/>
        <w:ind w:firstLine="2400" w:firstLineChars="100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图27学创杯赛事培训会议</w:t>
      </w:r>
    </w:p>
    <w:p w14:paraId="364DD209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956175" cy="3717290"/>
            <wp:effectExtent l="0" t="0" r="15875" b="16510"/>
            <wp:docPr id="46" name="图片 46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图片5"/>
                    <pic:cNvPicPr>
                      <a:picLocks noChangeAspect="1"/>
                    </pic:cNvPicPr>
                  </pic:nvPicPr>
                  <pic:blipFill>
                    <a:blip r:embed="rId43">
                      <a:lum contrast="1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6175" cy="371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B18D2">
      <w:pPr>
        <w:pStyle w:val="8"/>
        <w:ind w:firstLine="2640" w:firstLineChars="110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图28学创杯校赛现场</w:t>
      </w:r>
    </w:p>
    <w:p w14:paraId="2C1A36C1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074920" cy="3810000"/>
            <wp:effectExtent l="0" t="0" r="11430" b="0"/>
            <wp:docPr id="47" name="图片 47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图片4"/>
                    <pic:cNvPicPr>
                      <a:picLocks noChangeAspect="1"/>
                    </pic:cNvPicPr>
                  </pic:nvPicPr>
                  <pic:blipFill>
                    <a:blip r:embed="rId44">
                      <a:lum bright="6000"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92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50142">
      <w:pPr>
        <w:pStyle w:val="8"/>
        <w:ind w:firstLine="2640" w:firstLineChars="110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图29学创杯校赛现场</w:t>
      </w:r>
    </w:p>
    <w:p w14:paraId="7FD9D9A2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7800" cy="3943350"/>
            <wp:effectExtent l="0" t="0" r="0" b="0"/>
            <wp:docPr id="51" name="图片 51" descr="f778dd82a4c7a080b4f78e9ebb6a1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f778dd82a4c7a080b4f78e9ebb6a1f5"/>
                    <pic:cNvPicPr>
                      <a:picLocks noChangeAspect="1"/>
                    </pic:cNvPicPr>
                  </pic:nvPicPr>
                  <pic:blipFill>
                    <a:blip r:embed="rId45">
                      <a:lum bright="12000"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347FA">
      <w:pPr>
        <w:pStyle w:val="8"/>
        <w:ind w:firstLine="2640" w:firstLineChars="110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图30学创杯省赛荣获二等奖</w:t>
      </w:r>
    </w:p>
    <w:p w14:paraId="0DA2372A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245" cy="3944620"/>
            <wp:effectExtent l="0" t="0" r="14605" b="17780"/>
            <wp:docPr id="50" name="图片 50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图片1"/>
                    <pic:cNvPicPr>
                      <a:picLocks noChangeAspect="1"/>
                    </pic:cNvPicPr>
                  </pic:nvPicPr>
                  <pic:blipFill>
                    <a:blip r:embed="rId46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50555">
      <w:pPr>
        <w:pStyle w:val="8"/>
        <w:ind w:firstLine="2640" w:firstLineChars="110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图31学创杯省赛获奖学生和指导教师</w:t>
      </w:r>
    </w:p>
    <w:p w14:paraId="3A2C4E2C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900295" cy="3674110"/>
            <wp:effectExtent l="0" t="0" r="14605" b="2540"/>
            <wp:docPr id="49" name="图片 49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图片2"/>
                    <pic:cNvPicPr>
                      <a:picLocks noChangeAspect="1"/>
                    </pic:cNvPicPr>
                  </pic:nvPicPr>
                  <pic:blipFill>
                    <a:blip r:embed="rId47">
                      <a:lum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0295" cy="367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BEBBA">
      <w:pPr>
        <w:pStyle w:val="8"/>
        <w:ind w:firstLine="2640" w:firstLineChars="110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图32学创杯省赛获奖学生</w:t>
      </w:r>
    </w:p>
    <w:p w14:paraId="22FE4D6D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3954145"/>
            <wp:effectExtent l="0" t="0" r="4445" b="8255"/>
            <wp:docPr id="48" name="图片 48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图片3"/>
                    <pic:cNvPicPr>
                      <a:picLocks noChangeAspect="1"/>
                    </pic:cNvPicPr>
                  </pic:nvPicPr>
                  <pic:blipFill>
                    <a:blip r:embed="rId48">
                      <a:lum contrast="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C3130">
      <w:pPr>
        <w:pStyle w:val="8"/>
        <w:ind w:firstLine="2640" w:firstLineChars="110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图33学创杯省赛获奖学生合照</w:t>
      </w:r>
    </w:p>
    <w:p w14:paraId="5377348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</w:p>
    <w:p w14:paraId="6BD0716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640" w:firstLineChars="200"/>
        <w:jc w:val="left"/>
        <w:textAlignment w:val="auto"/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b w:val="0"/>
          <w:bCs/>
          <w:sz w:val="32"/>
          <w:szCs w:val="32"/>
          <w:lang w:val="en-US" w:eastAsia="zh-CN"/>
        </w:rPr>
        <w:t>11月，我校启动第三届职业规划大赛，大赛设置成长赛道与就业赛道两大类别，为不同发展方向的学生提供展示与提升的平台。大赛采用 “班级初赛、学院复赛、学校决赛” 三级选拔机制，吸引众多学生积极参与。参赛选手结合自身专业优势、兴趣特长与职业目标，精心撰写职业规划书，通过精彩的现场展示与答辩，展现清晰的职业发展路径。11月25日，校赛圆满落幕，评选出一批优秀参赛作品与选手。我校同步组建专业指导团队，为晋级省赛的选手提供一对一的精细化指导，助力选手在更高层级的赛事中再创佳绩。系列赛事的成功举办，有效激发了学生的创新创业热情，提升了学生的职业规划能力与求职竞争力，为学生未来职业发展奠定坚实基础。</w:t>
      </w:r>
    </w:p>
    <w:p w14:paraId="60276F96">
      <w:pPr>
        <w:pStyle w:val="8"/>
        <w:spacing w:before="0" w:beforeAutospacing="0" w:after="0"/>
        <w:ind w:left="2310" w:hanging="2640" w:hangingChars="1100"/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57" name="图片 57" descr="c8b766eea96ad19d81036ebbebb3b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c8b766eea96ad19d81036ebbebb3b42"/>
                    <pic:cNvPicPr>
                      <a:picLocks noChangeAspect="1"/>
                    </pic:cNvPicPr>
                  </pic:nvPicPr>
                  <pic:blipFill>
                    <a:blip r:embed="rId49">
                      <a:lum contrast="24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图34职规赛通知、方案与总结</w:t>
      </w:r>
    </w:p>
    <w:p w14:paraId="1CACDAB2">
      <w:pPr>
        <w:pStyle w:val="8"/>
        <w:spacing w:before="0" w:beforeAutospacing="0" w:after="0"/>
        <w:ind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12465" cy="5670550"/>
            <wp:effectExtent l="0" t="0" r="6350" b="6985"/>
            <wp:docPr id="58" name="图片 58" descr="b6298f7aa34a7054d5c5f4bc52b27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b6298f7aa34a7054d5c5f4bc52b27f4"/>
                    <pic:cNvPicPr>
                      <a:picLocks noChangeAspect="1"/>
                    </pic:cNvPicPr>
                  </pic:nvPicPr>
                  <pic:blipFill>
                    <a:blip r:embed="rId50">
                      <a:lum bright="-6000" contrast="18000"/>
                    </a:blip>
                    <a:srcRect l="5730" r="19366" b="88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12465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773A2">
      <w:pPr>
        <w:pStyle w:val="8"/>
        <w:ind w:firstLine="1440" w:firstLineChars="60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图35职规赛参赛选手材料、评分表、主持人稿等相关材料</w:t>
      </w:r>
    </w:p>
    <w:p w14:paraId="4292DE7A">
      <w:pPr>
        <w:pStyle w:val="8"/>
        <w:ind w:left="0" w:leftChars="0" w:firstLine="0" w:firstLineChars="0"/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drawing>
          <wp:inline distT="0" distB="0" distL="114300" distR="114300">
            <wp:extent cx="5636260" cy="3171190"/>
            <wp:effectExtent l="0" t="0" r="2540" b="10160"/>
            <wp:docPr id="61" name="图片 61" descr="IMG_20251119_13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51119_131443"/>
                    <pic:cNvPicPr>
                      <a:picLocks noChangeAspect="1"/>
                    </pic:cNvPicPr>
                  </pic:nvPicPr>
                  <pic:blipFill>
                    <a:blip r:embed="rId51">
                      <a:lum bright="-6000"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6260" cy="317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92E37">
      <w:pPr>
        <w:pStyle w:val="8"/>
        <w:ind w:firstLine="2880" w:firstLineChars="1200"/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图36职规赛班级赛比赛</w:t>
      </w:r>
    </w:p>
    <w:p w14:paraId="562CB7C9">
      <w:pPr>
        <w:pStyle w:val="8"/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3EF6AC1D">
      <w:pPr>
        <w:pStyle w:val="8"/>
        <w:rPr>
          <w:rFonts w:hint="default"/>
          <w:lang w:val="en-US" w:eastAsia="zh-CN"/>
        </w:rPr>
      </w:pPr>
      <w:r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drawing>
          <wp:inline distT="0" distB="0" distL="114300" distR="114300">
            <wp:extent cx="5264785" cy="3947160"/>
            <wp:effectExtent l="0" t="0" r="12065" b="15240"/>
            <wp:docPr id="60" name="图片 60" descr="院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院赛"/>
                    <pic:cNvPicPr>
                      <a:picLocks noChangeAspect="1"/>
                    </pic:cNvPicPr>
                  </pic:nvPicPr>
                  <pic:blipFill>
                    <a:blip r:embed="rId52">
                      <a:lum contrast="1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BE9F3">
      <w:pPr>
        <w:pStyle w:val="8"/>
        <w:ind w:firstLine="3120" w:firstLineChars="1300"/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图37职规赛院系赛比赛</w:t>
      </w:r>
    </w:p>
    <w:p w14:paraId="64DCD64C">
      <w:pPr>
        <w:pStyle w:val="8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511550"/>
            <wp:effectExtent l="0" t="0" r="10160" b="12700"/>
            <wp:docPr id="65" name="图片 65" descr="0c7c045616d4d71d9b74629ab6f64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0c7c045616d4d71d9b74629ab6f6485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956CB">
      <w:pPr>
        <w:pStyle w:val="8"/>
        <w:ind w:firstLine="3120" w:firstLineChars="130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图38职规赛校赛比赛校长发言</w:t>
      </w:r>
    </w:p>
    <w:p w14:paraId="6E485A3D">
      <w:pPr>
        <w:pStyle w:val="8"/>
        <w:ind w:firstLine="3120" w:firstLineChars="1300"/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2455EAF6">
      <w:pPr>
        <w:pStyle w:val="8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7800" cy="3505200"/>
            <wp:effectExtent l="0" t="0" r="0" b="0"/>
            <wp:docPr id="66" name="图片 66" descr="校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校赛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82C97">
      <w:pPr>
        <w:pStyle w:val="8"/>
        <w:ind w:firstLine="2160" w:firstLineChars="90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图39职规赛校赛比赛教务处处长发言</w:t>
      </w:r>
    </w:p>
    <w:p w14:paraId="7FB0AACF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7800" cy="3505200"/>
            <wp:effectExtent l="0" t="0" r="0" b="0"/>
            <wp:docPr id="70" name="图片 70" descr="IMG_8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G_863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37C4A">
      <w:pPr>
        <w:pStyle w:val="8"/>
        <w:ind w:firstLine="2160" w:firstLineChars="900"/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图40职规赛校赛评委和获奖选手合照</w:t>
      </w:r>
    </w:p>
    <w:p w14:paraId="66A52B37">
      <w:pPr>
        <w:pStyle w:val="8"/>
        <w:ind w:firstLine="2160" w:firstLineChars="900"/>
        <w:rPr>
          <w:rFonts w:hint="default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</w:pPr>
    </w:p>
    <w:p w14:paraId="59C424F8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3514090"/>
            <wp:effectExtent l="0" t="0" r="5715" b="10160"/>
            <wp:docPr id="69" name="图片 69" descr="fe987cafbbd6673bdfcda97eb7dda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fe987cafbbd6673bdfcda97eb7dda81"/>
                    <pic:cNvPicPr>
                      <a:picLocks noChangeAspect="1"/>
                    </pic:cNvPicPr>
                  </pic:nvPicPr>
                  <pic:blipFill>
                    <a:blip r:embed="rId56">
                      <a:lum bright="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8044C">
      <w:pPr>
        <w:pStyle w:val="8"/>
        <w:ind w:firstLine="1440" w:firstLineChars="60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图41职规赛校赛张雷校长为一等奖获奖选手颁奖合照</w:t>
      </w:r>
    </w:p>
    <w:p w14:paraId="37F60302">
      <w:pPr>
        <w:pStyle w:val="8"/>
        <w:rPr>
          <w:rFonts w:hint="default"/>
          <w:lang w:val="en-US" w:eastAsia="zh-CN"/>
        </w:rPr>
      </w:pPr>
    </w:p>
    <w:p w14:paraId="0FC13A0A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3514090"/>
            <wp:effectExtent l="0" t="0" r="5715" b="10160"/>
            <wp:docPr id="68" name="图片 68" descr="2ccd91fbecd17440d8597d2fba598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2ccd91fbecd17440d8597d2fba598c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8A1D2">
      <w:pPr>
        <w:pStyle w:val="8"/>
        <w:ind w:firstLine="1440" w:firstLineChars="600"/>
        <w:rPr>
          <w:rFonts w:hint="default"/>
          <w:lang w:val="en-US" w:eastAsia="zh-CN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图42职规赛校赛李福清校长为二等奖获奖选手颁奖合照</w:t>
      </w:r>
    </w:p>
    <w:p w14:paraId="580292E9">
      <w:pPr>
        <w:pStyle w:val="8"/>
        <w:rPr>
          <w:rFonts w:hint="default"/>
          <w:lang w:val="en-US" w:eastAsia="zh-CN"/>
        </w:rPr>
      </w:pPr>
    </w:p>
    <w:p w14:paraId="56FE13A0">
      <w:pPr>
        <w:pStyle w:val="8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040" cy="3512820"/>
            <wp:effectExtent l="0" t="0" r="3810" b="11430"/>
            <wp:docPr id="67" name="图片 67" descr="c6126d0f860fff37a0837c4c4a5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c6126d0f860fff37a0837c4c4a5204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19496">
      <w:pPr>
        <w:pStyle w:val="8"/>
        <w:ind w:firstLine="1200" w:firstLineChars="500"/>
        <w:rPr>
          <w:rFonts w:hint="default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宋体"/>
          <w:color w:val="auto"/>
          <w:kern w:val="0"/>
          <w:sz w:val="24"/>
          <w:szCs w:val="24"/>
          <w:highlight w:val="none"/>
          <w:vertAlign w:val="baseline"/>
          <w:lang w:val="en-US" w:eastAsia="zh-CN" w:bidi="ar-SA"/>
        </w:rPr>
        <w:t>图43职规赛校赛王丽媛人事处处长为三等奖获奖选手颁奖合照</w:t>
      </w:r>
    </w:p>
    <w:p w14:paraId="7F2B66C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黑体" w:hAnsi="黑体" w:eastAsia="黑体" w:cs="黑体"/>
          <w:b w:val="0"/>
          <w:bCs/>
          <w:kern w:val="2"/>
          <w:sz w:val="32"/>
          <w:szCs w:val="32"/>
          <w:lang w:val="en-US" w:eastAsia="zh-CN" w:bidi="ar-SA"/>
        </w:rPr>
      </w:pPr>
    </w:p>
    <w:p w14:paraId="7A397EC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eastAsia" w:ascii="黑体" w:hAnsi="黑体" w:eastAsia="黑体" w:cs="黑体"/>
          <w:b w:val="0"/>
          <w:bCs/>
          <w:kern w:val="2"/>
          <w:sz w:val="32"/>
          <w:szCs w:val="32"/>
          <w:lang w:val="en-US" w:eastAsia="zh-CN" w:bidi="ar-SA"/>
        </w:rPr>
      </w:pPr>
    </w:p>
    <w:p w14:paraId="1E4F8FC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default" w:ascii="黑体" w:hAnsi="黑体" w:eastAsia="黑体" w:cs="黑体"/>
          <w:b w:val="0"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黑体" w:hAnsi="黑体" w:eastAsia="黑体" w:cs="黑体"/>
          <w:b w:val="0"/>
          <w:bCs/>
          <w:kern w:val="2"/>
          <w:sz w:val="32"/>
          <w:szCs w:val="32"/>
          <w:lang w:val="en-US" w:eastAsia="zh-CN" w:bidi="ar-SA"/>
        </w:rPr>
        <w:t>第三章 未来与展望</w:t>
      </w:r>
    </w:p>
    <w:p w14:paraId="153E59B6"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firstLine="640" w:firstLineChars="200"/>
        <w:textAlignment w:val="auto"/>
        <w:rPr>
          <w:rFonts w:hint="default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</w:pPr>
      <w:r>
        <w:rPr>
          <w:rFonts w:hint="default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t>2025 届毕业生就业工作的稳步推进，是学校坚守育人初心、深化产教融合的生动实践，更是全体师生凝心聚力、协同奋进的丰硕成果。从就业率的稳步攀升到就业结构的持续优化，从精准帮扶的落地见效到校企合作的深度拓展，每一项成绩的取得，都彰显了学校以毕业生发展为中心的责任担当。站在新的发展起点，</w:t>
      </w:r>
      <w:r>
        <w:rPr>
          <w:rFonts w:hint="eastAsia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t>石家庄城市经济职业学院</w:t>
      </w:r>
      <w:r>
        <w:rPr>
          <w:rFonts w:hint="default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t>将</w:t>
      </w:r>
      <w:r>
        <w:rPr>
          <w:rFonts w:hint="eastAsia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t>在2026年</w:t>
      </w:r>
      <w:r>
        <w:rPr>
          <w:rFonts w:hint="default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t>继续立足区域经济社会发展需求，以更高标准完善就业工作体系，进一步深化人才培养模式改革，强化就业市场拓展与供需对接，持续提升就业指导服务的专业化、精准化水平。同时，</w:t>
      </w:r>
      <w:r>
        <w:rPr>
          <w:rFonts w:hint="eastAsia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t>我</w:t>
      </w:r>
      <w:r>
        <w:rPr>
          <w:rFonts w:hint="default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t>校将始终鼓励毕业生将个人理想融入国家发展大局，在实体经济、重点领域、关键行业中找准定位、建功立业，为培养更多适应新时代要求的高素质技术技能人才、助力区域经济高质量发展</w:t>
      </w:r>
      <w:bookmarkStart w:id="25" w:name="_GoBack"/>
      <w:r>
        <w:rPr>
          <w:rFonts w:hint="eastAsia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t>做出</w:t>
      </w:r>
      <w:bookmarkEnd w:id="25"/>
      <w:r>
        <w:rPr>
          <w:rFonts w:hint="default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t>新的更大贡献。</w:t>
      </w:r>
    </w:p>
    <w:p w14:paraId="0C4B0426">
      <w:pPr>
        <w:pStyle w:val="8"/>
        <w:ind w:left="0" w:leftChars="0" w:firstLine="0" w:firstLineChars="0"/>
        <w:rPr>
          <w:rFonts w:hint="default"/>
          <w:lang w:val="en-US" w:eastAsia="zh-CN"/>
        </w:rPr>
      </w:pPr>
    </w:p>
    <w:p w14:paraId="1CAC2EBB">
      <w:pPr>
        <w:pStyle w:val="8"/>
        <w:ind w:left="0" w:leftChars="0" w:firstLine="0" w:firstLineChars="0"/>
        <w:rPr>
          <w:rFonts w:hint="default"/>
          <w:lang w:val="en-US" w:eastAsia="zh-CN"/>
        </w:rPr>
      </w:pPr>
    </w:p>
    <w:p w14:paraId="0A677689"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left="0" w:leftChars="0" w:firstLine="480" w:firstLineChars="200"/>
        <w:textAlignment w:val="auto"/>
        <w:rPr>
          <w:rFonts w:hint="eastAsia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</w:pPr>
      <w:r>
        <w:rPr>
          <w:rFonts w:hint="eastAsia"/>
          <w:lang w:val="en-US" w:eastAsia="zh-CN"/>
        </w:rPr>
        <w:t xml:space="preserve">                                </w:t>
      </w:r>
      <w:r>
        <w:rPr>
          <w:rFonts w:hint="eastAsia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t xml:space="preserve"> 石家庄城市经济职业学院</w:t>
      </w:r>
    </w:p>
    <w:p w14:paraId="0521C273"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5440" w:firstLineChars="1700"/>
        <w:textAlignment w:val="auto"/>
        <w:rPr>
          <w:rFonts w:hint="eastAsia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t>就业指导中心</w:t>
      </w:r>
    </w:p>
    <w:p w14:paraId="1DF61CF6"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0" w:lineRule="exact"/>
        <w:ind w:firstLine="5120" w:firstLineChars="1600"/>
        <w:textAlignment w:val="auto"/>
        <w:rPr>
          <w:rFonts w:hint="eastAsia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sectPr>
          <w:headerReference r:id="rId7" w:type="default"/>
          <w:footerReference r:id="rId8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  <w:r>
        <w:rPr>
          <w:rFonts w:hint="eastAsia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t>2025年12月30日</w:t>
      </w:r>
    </w:p>
    <w:p w14:paraId="517F25D1"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rFonts w:hint="default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</w:pPr>
      <w:r>
        <w:rPr>
          <w:rFonts w:hint="default" w:ascii="仿宋" w:hAnsi="仿宋" w:eastAsia="仿宋" w:cs="仿宋"/>
          <w:b w:val="0"/>
          <w:bCs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71770" cy="8276590"/>
            <wp:effectExtent l="0" t="0" r="5080" b="10160"/>
            <wp:docPr id="14" name="图片 14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图片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27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9" w:type="default"/>
      <w:footerReference r:id="rId10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PMingLiU-ExtB">
    <w:panose1 w:val="02020500000000000000"/>
    <w:charset w:val="88"/>
    <w:family w:val="auto"/>
    <w:pitch w:val="default"/>
    <w:sig w:usb0="8000002F" w:usb1="02000008" w:usb2="00000000" w:usb3="00000000" w:csb0="0010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7966BA">
    <w:pPr>
      <w:pStyle w:val="4"/>
    </w:pPr>
  </w:p>
  <w:p w14:paraId="4F0D9760">
    <w:pPr>
      <w:pStyle w:val="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C1B6DA0">
    <w:pPr>
      <w:spacing w:line="168" w:lineRule="auto"/>
      <w:ind w:left="4940"/>
      <w:rPr>
        <w:rFonts w:ascii="Calibri" w:hAnsi="Calibri" w:eastAsia="Calibri" w:cs="Calibri"/>
        <w:sz w:val="18"/>
        <w:szCs w:val="18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D0E96A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1" name="文本框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AF72C70">
                          <w:pPr>
                            <w:pStyle w:val="4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336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lt8PCT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AF72C70">
                    <w:pPr>
                      <w:pStyle w:val="4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  <w:p w14:paraId="1544A35E">
    <w:pPr>
      <w:pStyle w:val="4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48E7D6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6" name="文本框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4800357">
                          <w:pPr>
                            <w:pStyle w:val="4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438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87R3I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4800357">
                    <w:pPr>
                      <w:pStyle w:val="4"/>
                    </w:pPr>
                  </w:p>
                </w:txbxContent>
              </v:textbox>
            </v:shape>
          </w:pict>
        </mc:Fallback>
      </mc:AlternateContent>
    </w:r>
  </w:p>
  <w:p w14:paraId="07BE2ACF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79E78B">
    <w:pPr>
      <w:pStyle w:val="5"/>
      <w:tabs>
        <w:tab w:val="clear" w:pos="4153"/>
      </w:tabs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700D5E">
    <w:pPr>
      <w:pStyle w:val="3"/>
      <w:spacing w:before="219" w:line="218" w:lineRule="auto"/>
      <w:ind w:left="1053"/>
      <w:rPr>
        <w:sz w:val="24"/>
        <w:szCs w:val="24"/>
      </w:rPr>
    </w:pPr>
    <w:r>
      <mc:AlternateContent>
        <mc:Choice Requires="wps">
          <w:drawing>
            <wp:anchor distT="0" distB="0" distL="114300" distR="114300" simplePos="0" relativeHeight="251663360" behindDoc="0" locked="0" layoutInCell="0" allowOverlap="1">
              <wp:simplePos x="0" y="0"/>
              <wp:positionH relativeFrom="page">
                <wp:posOffset>1143000</wp:posOffset>
              </wp:positionH>
              <wp:positionV relativeFrom="page">
                <wp:posOffset>912495</wp:posOffset>
              </wp:positionV>
              <wp:extent cx="5274310" cy="6350"/>
              <wp:effectExtent l="0" t="0" r="0" b="0"/>
              <wp:wrapNone/>
              <wp:docPr id="31" name="任意多边形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274310" cy="635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8305" h="10">
                            <a:moveTo>
                              <a:pt x="0" y="0"/>
                            </a:moveTo>
                            <a:lnTo>
                              <a:pt x="8305" y="0"/>
                            </a:lnTo>
                            <a:lnTo>
                              <a:pt x="8305" y="9"/>
                            </a:lnTo>
                            <a:lnTo>
                              <a:pt x="0" y="9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65BA"/>
                      </a:solidFill>
                      <a:ln>
                        <a:noFill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_x0000_s1026" o:spid="_x0000_s1026" o:spt="100" style="position:absolute;left:0pt;margin-left:90pt;margin-top:71.85pt;height:0.5pt;width:415.3pt;mso-position-horizontal-relative:page;mso-position-vertical-relative:page;z-index:251663360;mso-width-relative:page;mso-height-relative:page;" fillcolor="#0065BA" filled="t" stroked="f" coordsize="8305,10" o:allowincell="f" o:gfxdata="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" path="m0,0l8305,0,8305,9,0,9,0,0xe">
              <v:fill on="t" focussize="0,0"/>
              <v:stroke on="f"/>
              <v:imagedata o:title=""/>
              <o:lock v:ext="edit" aspectratio="f"/>
            </v:shape>
          </w:pict>
        </mc:Fallback>
      </mc:AlternateContent>
    </w: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493395</wp:posOffset>
          </wp:positionH>
          <wp:positionV relativeFrom="page">
            <wp:posOffset>476885</wp:posOffset>
          </wp:positionV>
          <wp:extent cx="449580" cy="450850"/>
          <wp:effectExtent l="0" t="0" r="7620" b="6350"/>
          <wp:wrapNone/>
          <wp:docPr id="20" name="IM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 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49579" cy="4511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color w:val="2C6493"/>
        <w:spacing w:val="-1"/>
        <w:sz w:val="24"/>
        <w:szCs w:val="24"/>
      </w:rPr>
      <w:t>2025</w:t>
    </w:r>
    <w:r>
      <w:rPr>
        <w:color w:val="2C6493"/>
        <w:spacing w:val="-48"/>
        <w:sz w:val="24"/>
        <w:szCs w:val="24"/>
      </w:rPr>
      <w:t xml:space="preserve"> </w:t>
    </w:r>
    <w:r>
      <w:rPr>
        <w:color w:val="2C6493"/>
        <w:spacing w:val="-1"/>
        <w:sz w:val="24"/>
        <w:szCs w:val="24"/>
      </w:rPr>
      <w:t>年度石家庄城市经济职业学院毕业生就业质量报告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7C64D69">
    <w:pPr>
      <w:pBdr>
        <w:bottom w:val="none" w:color="auto" w:sz="0" w:space="0"/>
      </w:pBdr>
      <w:spacing w:before="0" w:line="327" w:lineRule="exact"/>
      <w:ind w:left="20" w:right="0" w:firstLine="0"/>
      <w:jc w:val="left"/>
      <w:rPr>
        <w:rFonts w:hint="eastAsia" w:ascii="宋体" w:eastAsia="宋体"/>
        <w:sz w:val="24"/>
        <w:szCs w:val="21"/>
      </w:rPr>
    </w:pPr>
    <w:r>
      <w:drawing>
        <wp:anchor distT="0" distB="0" distL="0" distR="0" simplePos="0" relativeHeight="251662336" behindDoc="1" locked="0" layoutInCell="1" allowOverlap="1">
          <wp:simplePos x="0" y="0"/>
          <wp:positionH relativeFrom="page">
            <wp:posOffset>493395</wp:posOffset>
          </wp:positionH>
          <wp:positionV relativeFrom="page">
            <wp:posOffset>477520</wp:posOffset>
          </wp:positionV>
          <wp:extent cx="448945" cy="450850"/>
          <wp:effectExtent l="0" t="0" r="8255" b="6350"/>
          <wp:wrapNone/>
          <wp:docPr id="17" name="image2.png" descr="C:\Users\Administrator\Desktop\图片1.png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2.png" descr="C:\Users\Administrator\Desktop\图片1.png图片1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48945" cy="450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hint="eastAsia" w:ascii="宋体" w:eastAsia="宋体"/>
        <w:color w:val="2C6493"/>
        <w:sz w:val="24"/>
        <w:szCs w:val="21"/>
        <w:lang w:val="en-US" w:eastAsia="zh-CN"/>
      </w:rPr>
      <w:t>2</w:t>
    </w:r>
    <w:r>
      <w:rPr>
        <w:rFonts w:hint="eastAsia" w:ascii="宋体" w:eastAsia="宋体"/>
        <w:color w:val="2C6493"/>
        <w:sz w:val="24"/>
        <w:szCs w:val="21"/>
      </w:rPr>
      <w:t>02</w:t>
    </w:r>
    <w:r>
      <w:rPr>
        <w:rFonts w:hint="eastAsia" w:ascii="宋体" w:eastAsia="宋体"/>
        <w:color w:val="2C6493"/>
        <w:sz w:val="24"/>
        <w:szCs w:val="21"/>
        <w:lang w:val="en-US" w:eastAsia="zh-CN"/>
      </w:rPr>
      <w:t>5</w:t>
    </w:r>
    <w:r>
      <w:rPr>
        <w:rFonts w:hint="eastAsia" w:ascii="宋体" w:eastAsia="宋体"/>
        <w:color w:val="2C6493"/>
        <w:sz w:val="24"/>
        <w:szCs w:val="21"/>
      </w:rPr>
      <w:t>年度</w:t>
    </w:r>
    <w:r>
      <w:rPr>
        <w:rFonts w:hint="eastAsia" w:ascii="宋体" w:eastAsia="宋体"/>
        <w:color w:val="2C6493"/>
        <w:sz w:val="24"/>
        <w:szCs w:val="21"/>
        <w:lang w:eastAsia="zh-CN"/>
      </w:rPr>
      <w:t>石家庄城市经济职业学院</w:t>
    </w:r>
    <w:r>
      <w:rPr>
        <w:rFonts w:hint="eastAsia" w:ascii="宋体" w:eastAsia="宋体"/>
        <w:color w:val="2C6493"/>
        <w:sz w:val="24"/>
        <w:szCs w:val="21"/>
      </w:rPr>
      <w:t>毕业生就业质量报告</w:t>
    </w:r>
  </w:p>
  <w:p w14:paraId="0D7821C1">
    <w:pPr>
      <w:pStyle w:val="5"/>
      <w:pBdr>
        <w:bottom w:val="single" w:color="0065BA" w:sz="4" w:space="1"/>
      </w:pBdr>
      <w:tabs>
        <w:tab w:val="clear" w:pos="4153"/>
      </w:tabs>
      <w:jc w:val="cent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F08BE73">
    <w:pPr>
      <w:pStyle w:val="5"/>
      <w:pBdr>
        <w:bottom w:val="none" w:color="auto" w:sz="0" w:space="1"/>
      </w:pBdr>
      <w:tabs>
        <w:tab w:val="clear" w:pos="4153"/>
      </w:tabs>
      <w:jc w:val="both"/>
      <w:rPr>
        <w:rFonts w:hint="eastAsia" w:eastAsiaTheme="minorEastAsia"/>
        <w:lang w:eastAsia="zh-CN"/>
      </w:rPr>
    </w:pPr>
  </w:p>
  <w:p w14:paraId="7626E87F">
    <w:pPr>
      <w:pStyle w:val="5"/>
      <w:pBdr>
        <w:bottom w:val="none" w:color="auto" w:sz="0" w:space="1"/>
      </w:pBdr>
      <w:tabs>
        <w:tab w:val="clear" w:pos="4153"/>
      </w:tabs>
      <w:jc w:val="both"/>
      <w:rPr>
        <w:rFonts w:hint="eastAsia" w:eastAsiaTheme="minorEastAsia"/>
        <w:lang w:eastAsia="zh-CN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3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002117A"/>
    <w:rsid w:val="00E16FE2"/>
    <w:rsid w:val="025D2470"/>
    <w:rsid w:val="03D1730F"/>
    <w:rsid w:val="04333FF8"/>
    <w:rsid w:val="04AE2C39"/>
    <w:rsid w:val="057448C8"/>
    <w:rsid w:val="06E82466"/>
    <w:rsid w:val="08275C22"/>
    <w:rsid w:val="08401E5F"/>
    <w:rsid w:val="0A0B60D6"/>
    <w:rsid w:val="0AD96F7B"/>
    <w:rsid w:val="0BFB5CEE"/>
    <w:rsid w:val="0CEA5F50"/>
    <w:rsid w:val="0E0A3916"/>
    <w:rsid w:val="0E865CB4"/>
    <w:rsid w:val="158C7B2F"/>
    <w:rsid w:val="17126D66"/>
    <w:rsid w:val="19E5593D"/>
    <w:rsid w:val="1F5A46D7"/>
    <w:rsid w:val="212925B3"/>
    <w:rsid w:val="23880F5A"/>
    <w:rsid w:val="2AEA4B61"/>
    <w:rsid w:val="2BF235A7"/>
    <w:rsid w:val="30000983"/>
    <w:rsid w:val="303D1BD7"/>
    <w:rsid w:val="32AB72CC"/>
    <w:rsid w:val="343C3F54"/>
    <w:rsid w:val="36A209E6"/>
    <w:rsid w:val="36F75539"/>
    <w:rsid w:val="36FB77C2"/>
    <w:rsid w:val="37576857"/>
    <w:rsid w:val="39657AA9"/>
    <w:rsid w:val="3AC147A5"/>
    <w:rsid w:val="3C502478"/>
    <w:rsid w:val="3D8A3804"/>
    <w:rsid w:val="3DF24001"/>
    <w:rsid w:val="3FC76631"/>
    <w:rsid w:val="3FCB51BB"/>
    <w:rsid w:val="401A783F"/>
    <w:rsid w:val="42117470"/>
    <w:rsid w:val="43D16466"/>
    <w:rsid w:val="44663053"/>
    <w:rsid w:val="44BF2763"/>
    <w:rsid w:val="490746D8"/>
    <w:rsid w:val="4ACF7478"/>
    <w:rsid w:val="4B013AD5"/>
    <w:rsid w:val="4B066EE4"/>
    <w:rsid w:val="4DC97FAC"/>
    <w:rsid w:val="4E1A269F"/>
    <w:rsid w:val="4E8F13F8"/>
    <w:rsid w:val="4E9718FE"/>
    <w:rsid w:val="525766D1"/>
    <w:rsid w:val="53D654FE"/>
    <w:rsid w:val="5647174D"/>
    <w:rsid w:val="57C77E54"/>
    <w:rsid w:val="581E0DE0"/>
    <w:rsid w:val="5904478E"/>
    <w:rsid w:val="598B3B8A"/>
    <w:rsid w:val="5A451B2A"/>
    <w:rsid w:val="5DF35AB3"/>
    <w:rsid w:val="5E4A70E9"/>
    <w:rsid w:val="5EC86D90"/>
    <w:rsid w:val="60C4204E"/>
    <w:rsid w:val="629E7A04"/>
    <w:rsid w:val="640E3D34"/>
    <w:rsid w:val="64C86FBA"/>
    <w:rsid w:val="682C160E"/>
    <w:rsid w:val="6ABA3928"/>
    <w:rsid w:val="6E9666FC"/>
    <w:rsid w:val="6EAD1BA4"/>
    <w:rsid w:val="6FA333B6"/>
    <w:rsid w:val="720706C6"/>
    <w:rsid w:val="72696A9F"/>
    <w:rsid w:val="73333915"/>
    <w:rsid w:val="73897499"/>
    <w:rsid w:val="73E70B37"/>
    <w:rsid w:val="774642FF"/>
    <w:rsid w:val="77F13C27"/>
    <w:rsid w:val="78B00A90"/>
    <w:rsid w:val="79C737DD"/>
    <w:rsid w:val="7A4D0328"/>
    <w:rsid w:val="7AB855E2"/>
    <w:rsid w:val="7CA57EB5"/>
    <w:rsid w:val="7DC81A6D"/>
    <w:rsid w:val="7FE64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1" w:semiHidden="0" w:name="toc 1"/>
    <w:lsdException w:qFormat="1" w:unhideWhenUsed="0" w:uiPriority="1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11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unhideWhenUsed/>
    <w:qFormat/>
    <w:uiPriority w:val="99"/>
    <w:pPr>
      <w:spacing w:before="100" w:beforeAutospacing="1" w:after="120"/>
    </w:pPr>
    <w:rPr>
      <w:rFonts w:asciiTheme="minorHAnsi" w:hAnsiTheme="minorHAnsi" w:eastAsiaTheme="minorEastAsia" w:cstheme="minorBidi"/>
      <w:szCs w:val="21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toc 1"/>
    <w:basedOn w:val="1"/>
    <w:next w:val="1"/>
    <w:qFormat/>
    <w:uiPriority w:val="1"/>
    <w:pPr>
      <w:spacing w:before="98"/>
      <w:ind w:right="456"/>
      <w:jc w:val="right"/>
    </w:pPr>
    <w:rPr>
      <w:rFonts w:ascii="PMingLiU-ExtB" w:hAnsi="PMingLiU-ExtB" w:eastAsia="PMingLiU-ExtB" w:cs="PMingLiU-ExtB"/>
      <w:sz w:val="26"/>
      <w:szCs w:val="26"/>
      <w:lang w:val="zh-CN" w:eastAsia="zh-CN" w:bidi="zh-CN"/>
    </w:rPr>
  </w:style>
  <w:style w:type="paragraph" w:styleId="7">
    <w:name w:val="toc 2"/>
    <w:basedOn w:val="1"/>
    <w:next w:val="1"/>
    <w:qFormat/>
    <w:uiPriority w:val="1"/>
    <w:pPr>
      <w:spacing w:before="151"/>
      <w:ind w:right="454"/>
      <w:jc w:val="right"/>
    </w:pPr>
    <w:rPr>
      <w:rFonts w:ascii="PMingLiU-ExtB" w:hAnsi="PMingLiU-ExtB" w:eastAsia="PMingLiU-ExtB" w:cs="PMingLiU-ExtB"/>
      <w:sz w:val="22"/>
      <w:szCs w:val="22"/>
      <w:lang w:val="zh-CN" w:eastAsia="zh-CN" w:bidi="zh-CN"/>
    </w:rPr>
  </w:style>
  <w:style w:type="paragraph" w:styleId="8">
    <w:name w:val="Body Text First Indent"/>
    <w:basedOn w:val="3"/>
    <w:qFormat/>
    <w:uiPriority w:val="0"/>
    <w:pPr>
      <w:ind w:firstLine="420" w:firstLineChars="100"/>
    </w:p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2">
    <w:name w:val="font31"/>
    <w:basedOn w:val="11"/>
    <w:qFormat/>
    <w:uiPriority w:val="0"/>
    <w:rPr>
      <w:rFonts w:ascii="宋体" w:hAnsi="宋体" w:eastAsia="宋体" w:cs="宋体"/>
      <w:color w:val="000000"/>
      <w:sz w:val="26"/>
      <w:szCs w:val="26"/>
      <w:u w:val="none"/>
    </w:rPr>
  </w:style>
  <w:style w:type="paragraph" w:customStyle="1" w:styleId="13">
    <w:name w:val="Table Text"/>
    <w:basedOn w:val="1"/>
    <w:semiHidden/>
    <w:qFormat/>
    <w:uiPriority w:val="0"/>
    <w:rPr>
      <w:rFonts w:ascii="仿宋" w:hAnsi="仿宋" w:eastAsia="仿宋" w:cs="仿宋"/>
      <w:sz w:val="28"/>
      <w:szCs w:val="28"/>
      <w:lang w:val="en-US" w:eastAsia="en-US" w:bidi="ar-SA"/>
    </w:rPr>
  </w:style>
  <w:style w:type="table" w:customStyle="1" w:styleId="14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4.xml"/><Relationship Id="rId8" Type="http://schemas.openxmlformats.org/officeDocument/2006/relationships/footer" Target="footer3.xml"/><Relationship Id="rId7" Type="http://schemas.openxmlformats.org/officeDocument/2006/relationships/header" Target="header3.xml"/><Relationship Id="rId62" Type="http://schemas.openxmlformats.org/officeDocument/2006/relationships/fontTable" Target="fontTable.xml"/><Relationship Id="rId61" Type="http://schemas.openxmlformats.org/officeDocument/2006/relationships/customXml" Target="../customXml/item2.xml"/><Relationship Id="rId60" Type="http://schemas.openxmlformats.org/officeDocument/2006/relationships/customXml" Target="../customXml/item1.xml"/><Relationship Id="rId6" Type="http://schemas.openxmlformats.org/officeDocument/2006/relationships/footer" Target="footer2.xml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jpeg"/><Relationship Id="rId56" Type="http://schemas.openxmlformats.org/officeDocument/2006/relationships/image" Target="media/image46.jpeg"/><Relationship Id="rId55" Type="http://schemas.openxmlformats.org/officeDocument/2006/relationships/image" Target="media/image45.jpeg"/><Relationship Id="rId54" Type="http://schemas.openxmlformats.org/officeDocument/2006/relationships/image" Target="media/image44.jpeg"/><Relationship Id="rId53" Type="http://schemas.openxmlformats.org/officeDocument/2006/relationships/image" Target="media/image43.jpeg"/><Relationship Id="rId52" Type="http://schemas.openxmlformats.org/officeDocument/2006/relationships/image" Target="media/image42.jpeg"/><Relationship Id="rId51" Type="http://schemas.openxmlformats.org/officeDocument/2006/relationships/image" Target="media/image41.jpeg"/><Relationship Id="rId50" Type="http://schemas.openxmlformats.org/officeDocument/2006/relationships/image" Target="media/image40.jpeg"/><Relationship Id="rId5" Type="http://schemas.openxmlformats.org/officeDocument/2006/relationships/header" Target="header2.xml"/><Relationship Id="rId49" Type="http://schemas.openxmlformats.org/officeDocument/2006/relationships/image" Target="media/image39.jpeg"/><Relationship Id="rId48" Type="http://schemas.openxmlformats.org/officeDocument/2006/relationships/image" Target="media/image38.png"/><Relationship Id="rId47" Type="http://schemas.openxmlformats.org/officeDocument/2006/relationships/image" Target="media/image37.png"/><Relationship Id="rId46" Type="http://schemas.openxmlformats.org/officeDocument/2006/relationships/image" Target="media/image36.png"/><Relationship Id="rId45" Type="http://schemas.openxmlformats.org/officeDocument/2006/relationships/image" Target="media/image35.jpe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jpeg"/><Relationship Id="rId41" Type="http://schemas.openxmlformats.org/officeDocument/2006/relationships/image" Target="media/image31.jpeg"/><Relationship Id="rId40" Type="http://schemas.openxmlformats.org/officeDocument/2006/relationships/image" Target="media/image30.jpeg"/><Relationship Id="rId4" Type="http://schemas.openxmlformats.org/officeDocument/2006/relationships/footer" Target="footer1.xml"/><Relationship Id="rId39" Type="http://schemas.openxmlformats.org/officeDocument/2006/relationships/image" Target="media/image29.jpeg"/><Relationship Id="rId38" Type="http://schemas.openxmlformats.org/officeDocument/2006/relationships/image" Target="media/image28.jpeg"/><Relationship Id="rId37" Type="http://schemas.openxmlformats.org/officeDocument/2006/relationships/image" Target="media/image27.jpeg"/><Relationship Id="rId36" Type="http://schemas.openxmlformats.org/officeDocument/2006/relationships/image" Target="media/image26.jpeg"/><Relationship Id="rId35" Type="http://schemas.openxmlformats.org/officeDocument/2006/relationships/image" Target="media/image25.jpeg"/><Relationship Id="rId34" Type="http://schemas.openxmlformats.org/officeDocument/2006/relationships/image" Target="media/image24.jpeg"/><Relationship Id="rId33" Type="http://schemas.openxmlformats.org/officeDocument/2006/relationships/image" Target="media/image23.jpeg"/><Relationship Id="rId32" Type="http://schemas.openxmlformats.org/officeDocument/2006/relationships/image" Target="media/image22.jpeg"/><Relationship Id="rId31" Type="http://schemas.openxmlformats.org/officeDocument/2006/relationships/image" Target="media/image21.jpeg"/><Relationship Id="rId30" Type="http://schemas.openxmlformats.org/officeDocument/2006/relationships/image" Target="media/image20.jpeg"/><Relationship Id="rId3" Type="http://schemas.openxmlformats.org/officeDocument/2006/relationships/header" Target="header1.xml"/><Relationship Id="rId29" Type="http://schemas.openxmlformats.org/officeDocument/2006/relationships/image" Target="media/image19.jpeg"/><Relationship Id="rId28" Type="http://schemas.openxmlformats.org/officeDocument/2006/relationships/image" Target="media/image18.jpeg"/><Relationship Id="rId27" Type="http://schemas.openxmlformats.org/officeDocument/2006/relationships/image" Target="media/image17.png"/><Relationship Id="rId26" Type="http://schemas.openxmlformats.org/officeDocument/2006/relationships/image" Target="media/image16.jpeg"/><Relationship Id="rId25" Type="http://schemas.openxmlformats.org/officeDocument/2006/relationships/image" Target="media/image15.png"/><Relationship Id="rId24" Type="http://schemas.openxmlformats.org/officeDocument/2006/relationships/image" Target="media/image14.jpeg"/><Relationship Id="rId23" Type="http://schemas.openxmlformats.org/officeDocument/2006/relationships/image" Target="media/image13.jpeg"/><Relationship Id="rId22" Type="http://schemas.openxmlformats.org/officeDocument/2006/relationships/image" Target="media/image12.png"/><Relationship Id="rId21" Type="http://schemas.openxmlformats.org/officeDocument/2006/relationships/image" Target="media/image11.jpeg"/><Relationship Id="rId20" Type="http://schemas.openxmlformats.org/officeDocument/2006/relationships/image" Target="media/image10.jpeg"/><Relationship Id="rId2" Type="http://schemas.openxmlformats.org/officeDocument/2006/relationships/settings" Target="settings.xml"/><Relationship Id="rId19" Type="http://schemas.openxmlformats.org/officeDocument/2006/relationships/image" Target="media/image9.jpeg"/><Relationship Id="rId18" Type="http://schemas.openxmlformats.org/officeDocument/2006/relationships/image" Target="media/image8.jpeg"/><Relationship Id="rId17" Type="http://schemas.openxmlformats.org/officeDocument/2006/relationships/image" Target="media/image7.jpeg"/><Relationship Id="rId16" Type="http://schemas.openxmlformats.org/officeDocument/2006/relationships/image" Target="media/image6.jpeg"/><Relationship Id="rId15" Type="http://schemas.openxmlformats.org/officeDocument/2006/relationships/image" Target="media/image5.jpeg"/><Relationship Id="rId14" Type="http://schemas.openxmlformats.org/officeDocument/2006/relationships/chart" Target="charts/chart1.xml"/><Relationship Id="rId13" Type="http://schemas.openxmlformats.org/officeDocument/2006/relationships/image" Target="media/image4.png"/><Relationship Id="rId12" Type="http://schemas.openxmlformats.org/officeDocument/2006/relationships/image" Target="media/image3.jpeg"/><Relationship Id="rId11" Type="http://schemas.openxmlformats.org/officeDocument/2006/relationships/theme" Target="theme/theme1.xml"/><Relationship Id="rId10" Type="http://schemas.openxmlformats.org/officeDocument/2006/relationships/footer" Target="footer4.xml"/><Relationship Id="rId1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microsoft.com/office/2011/relationships/chartColorStyle" Target="colors1.xml"/><Relationship Id="rId2" Type="http://schemas.microsoft.com/office/2011/relationships/chartStyle" Target="style1.xml"/><Relationship Id="rId1" Type="http://schemas.openxmlformats.org/officeDocument/2006/relationships/oleObject" Target="&#24037;&#20316;&#31807;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 defTabSz="914400">
              <a:defRPr lang="zh-CN" sz="1400" b="1" i="0" u="none" strike="noStrike" kern="1200" baseline="0">
                <a:solidFill>
                  <a:srgbClr val="404040">
                    <a:lumMod val="75000"/>
                    <a:lumOff val="25000"/>
                  </a:srgbClr>
                </a:solidFill>
                <a:latin typeface="+mn-lt"/>
                <a:ea typeface="+mn-ea"/>
                <a:cs typeface="+mn-cs"/>
              </a:defRPr>
            </a:pPr>
            <a:r>
              <a:t>2025届毕业生就业地区省份分布图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0.100779412163309"/>
          <c:y val="0.0241319444444444"/>
          <c:w val="0.848430718839563"/>
          <c:h val="0.571076388888889"/>
        </c:manualLayout>
      </c:layout>
      <c:lineChart>
        <c:grouping val="standard"/>
        <c:varyColors val="0"/>
        <c:ser>
          <c:idx val="0"/>
          <c:order val="0"/>
          <c:spPr>
            <a:ln w="28575" cap="rnd">
              <a:solidFill>
                <a:srgbClr val="4F81BD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rgbClr val="4F81BD"/>
              </a:solidFill>
              <a:ln w="9525">
                <a:solidFill>
                  <a:srgbClr val="4F81BD"/>
                </a:solidFill>
              </a:ln>
              <a:effectLst/>
            </c:spPr>
          </c:marker>
          <c:dLbls>
            <c:delete val="1"/>
          </c:dLbls>
          <c:cat>
            <c:strRef>
              <c:f>[工作簿1]Sheet1!$A$1:$A$21</c:f>
              <c:strCache>
                <c:ptCount val="21"/>
                <c:pt idx="0">
                  <c:v>湖北省</c:v>
                </c:pt>
                <c:pt idx="1">
                  <c:v>湖南省</c:v>
                </c:pt>
                <c:pt idx="2">
                  <c:v>云南省</c:v>
                </c:pt>
                <c:pt idx="3">
                  <c:v>西藏自治区</c:v>
                </c:pt>
                <c:pt idx="4">
                  <c:v>陕西省</c:v>
                </c:pt>
                <c:pt idx="5">
                  <c:v>新疆维吾尔自治区</c:v>
                </c:pt>
                <c:pt idx="6">
                  <c:v>重庆市</c:v>
                </c:pt>
                <c:pt idx="7">
                  <c:v>海南省</c:v>
                </c:pt>
                <c:pt idx="8">
                  <c:v>上海市</c:v>
                </c:pt>
                <c:pt idx="9">
                  <c:v>内蒙古自治区</c:v>
                </c:pt>
                <c:pt idx="10">
                  <c:v>四川省</c:v>
                </c:pt>
                <c:pt idx="11">
                  <c:v>山西省</c:v>
                </c:pt>
                <c:pt idx="12">
                  <c:v>浙江省</c:v>
                </c:pt>
                <c:pt idx="13">
                  <c:v>黑龙江省</c:v>
                </c:pt>
                <c:pt idx="14">
                  <c:v>广东省</c:v>
                </c:pt>
                <c:pt idx="15">
                  <c:v>河南省</c:v>
                </c:pt>
                <c:pt idx="16">
                  <c:v>青海省</c:v>
                </c:pt>
                <c:pt idx="17">
                  <c:v>山东省</c:v>
                </c:pt>
                <c:pt idx="18">
                  <c:v>天津市</c:v>
                </c:pt>
                <c:pt idx="19">
                  <c:v>北京市</c:v>
                </c:pt>
                <c:pt idx="20">
                  <c:v>河北省</c:v>
                </c:pt>
              </c:strCache>
            </c:strRef>
          </c:cat>
          <c:val>
            <c:numRef>
              <c:f>[工作簿1]Sheet1!$B$1:$B$21</c:f>
              <c:numCache>
                <c:formatCode>0.00%</c:formatCode>
                <c:ptCount val="21"/>
                <c:pt idx="0">
                  <c:v>0.0099</c:v>
                </c:pt>
                <c:pt idx="1">
                  <c:v>0.0099</c:v>
                </c:pt>
                <c:pt idx="2">
                  <c:v>0.0009</c:v>
                </c:pt>
                <c:pt idx="3">
                  <c:v>0.0005</c:v>
                </c:pt>
                <c:pt idx="4">
                  <c:v>0.0033</c:v>
                </c:pt>
                <c:pt idx="5">
                  <c:v>0.0019</c:v>
                </c:pt>
                <c:pt idx="6">
                  <c:v>0.0014</c:v>
                </c:pt>
                <c:pt idx="7">
                  <c:v>0.0009</c:v>
                </c:pt>
                <c:pt idx="8">
                  <c:v>0.0028</c:v>
                </c:pt>
                <c:pt idx="9">
                  <c:v>0.0028</c:v>
                </c:pt>
                <c:pt idx="10">
                  <c:v>0.0014</c:v>
                </c:pt>
                <c:pt idx="11">
                  <c:v>0.0009</c:v>
                </c:pt>
                <c:pt idx="12">
                  <c:v>0.0075</c:v>
                </c:pt>
                <c:pt idx="13">
                  <c:v>0.0066</c:v>
                </c:pt>
                <c:pt idx="14">
                  <c:v>0.0094</c:v>
                </c:pt>
                <c:pt idx="15">
                  <c:v>0.0099</c:v>
                </c:pt>
                <c:pt idx="16">
                  <c:v>0.008</c:v>
                </c:pt>
                <c:pt idx="17">
                  <c:v>0.0231</c:v>
                </c:pt>
                <c:pt idx="18">
                  <c:v>0.0692</c:v>
                </c:pt>
                <c:pt idx="19">
                  <c:v>0.0231</c:v>
                </c:pt>
                <c:pt idx="20">
                  <c:v>0.8009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64041886"/>
        <c:axId val="967637833"/>
      </c:lineChart>
      <c:catAx>
        <c:axId val="764041886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 w="9525" cap="flat" cmpd="sng" algn="ctr">
            <a:solidFill>
              <a:srgbClr val="D9D9D9">
                <a:lumMod val="15000"/>
                <a:lumOff val="85000"/>
              </a:srgbClr>
            </a:solidFill>
            <a:round/>
          </a:ln>
          <a:effectLst/>
        </c:spPr>
        <c:txPr>
          <a:bodyPr rot="0" spcFirstLastPara="0" vertOverflow="ellipsis" vert="eaVert" wrap="square" anchor="ctr" anchorCtr="1"/>
          <a:lstStyle/>
          <a:p>
            <a:pPr>
              <a:defRPr lang="zh-CN" sz="900" b="0" i="0" u="none" strike="noStrike" kern="1400" cap="none" spc="0" normalizeH="0" baseline="0">
                <a:solidFill>
                  <a:srgbClr val="595959">
                    <a:lumMod val="65000"/>
                    <a:lumOff val="35000"/>
                  </a:srgbClr>
                </a:solidFill>
                <a:uFill>
                  <a:solidFill>
                    <a:srgbClr val="595959">
                      <a:lumMod val="65000"/>
                      <a:lumOff val="35000"/>
                    </a:srgbClr>
                  </a:solidFill>
                </a:uFill>
                <a:latin typeface="+mn-lt"/>
                <a:ea typeface="+mn-ea"/>
                <a:cs typeface="+mn-cs"/>
              </a:defRPr>
            </a:pPr>
          </a:p>
        </c:txPr>
        <c:crossAx val="967637833"/>
        <c:crosses val="autoZero"/>
        <c:auto val="1"/>
        <c:lblAlgn val="ctr"/>
        <c:lblOffset val="100"/>
        <c:noMultiLvlLbl val="0"/>
      </c:catAx>
      <c:valAx>
        <c:axId val="96763783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rgbClr val="E6E6E6">
                  <a:lumMod val="90200"/>
                </a:srgb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0" vertOverflow="ellipsis" vert="horz" wrap="square" anchor="ctr" anchorCtr="1"/>
          <a:lstStyle/>
          <a:p>
            <a:pPr>
              <a:defRPr lang="zh-CN" sz="900" b="0" i="0" u="none" strike="noStrike" kern="1200" baseline="0">
                <a:solidFill>
                  <a:srgbClr val="595959">
                    <a:lumMod val="65000"/>
                    <a:lumOff val="35000"/>
                  </a:srgbClr>
                </a:solidFill>
                <a:latin typeface="+mn-lt"/>
                <a:ea typeface="+mn-ea"/>
                <a:cs typeface="+mn-cs"/>
              </a:defRPr>
            </a:pPr>
          </a:p>
        </c:txPr>
        <c:crossAx val="76404188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uri="{0b15fc19-7d7d-44ad-8c2d-2c3a37ce22c3}">
        <chartProps xmlns="https://web.wps.cn/et/2018/main" chartId="{37910a62-d49b-49d0-b95c-f2303e65f0e5}"/>
      </c:ext>
    </c:extLst>
  </c:chart>
  <c:spPr>
    <a:solidFill>
      <a:srgbClr val="FFFFFF"/>
    </a:solidFill>
    <a:ln w="9525" cap="flat" cmpd="sng" algn="ctr">
      <a:solidFill>
        <a:srgbClr val="D9D9D9">
          <a:lumMod val="15000"/>
          <a:lumOff val="85000"/>
        </a:srgbClr>
      </a:solidFill>
      <a:round/>
    </a:ln>
    <a:effectLst/>
  </c:spPr>
  <c:txPr>
    <a:bodyPr/>
    <a:lstStyle/>
    <a:p>
      <a:pPr>
        <a:defRPr lang="zh-CN"/>
      </a:pPr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rgbClr val="4F81BD"/>
  <a:srgbClr val="C0504D"/>
  <a:srgbClr val="9BBB59"/>
  <a:srgbClr val="8064A2"/>
  <a:srgbClr val="4BACC6"/>
  <a:srgbClr val="F7964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10055">
  <cs:axisTitle>
    <cs:lnRef idx="0"/>
    <cs:fillRef idx="0"/>
    <cs:effectRef idx="0"/>
    <cs:fontRef idx="minor">
      <a:srgbClr val="595959">
        <a:lumMod val="65000"/>
        <a:lumOff val="35000"/>
      </a:srgbClr>
    </cs:fontRef>
    <cs:defRPr sz="1000" kern="1200"/>
  </cs:axisTitle>
  <cs:categoryAxis>
    <cs:lnRef idx="0"/>
    <cs:fillRef idx="0"/>
    <cs:effectRef idx="0"/>
    <cs:fontRef idx="minor">
      <a:srgbClr val="595959">
        <a:lumMod val="65000"/>
        <a:lumOff val="35000"/>
      </a:srgbClr>
    </cs:fontRef>
    <cs:spPr>
      <a:ln w="9525" cap="flat" cmpd="sng" algn="ctr">
        <a:solidFill>
          <a:srgbClr val="D9D9D9">
            <a:lumMod val="15000"/>
            <a:lumOff val="85000"/>
          </a:srgb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rgbClr val="000000"/>
    </cs:fontRef>
    <cs:spPr>
      <a:solidFill>
        <a:srgbClr val="FFFFFF"/>
      </a:solidFill>
      <a:ln w="9525" cap="flat" cmpd="sng" algn="ctr">
        <a:solidFill>
          <a:srgbClr val="D9D9D9">
            <a:lumMod val="15000"/>
            <a:lumOff val="85000"/>
          </a:srgbClr>
        </a:solidFill>
        <a:round/>
      </a:ln>
    </cs:spPr>
    <cs:defRPr sz="1000" kern="1200"/>
  </cs:chartArea>
  <cs:dataLabel>
    <cs:lnRef idx="0"/>
    <cs:fillRef idx="0"/>
    <cs:effectRef idx="0"/>
    <cs:fontRef idx="minor">
      <a:srgbClr val="404040">
        <a:lumMod val="75000"/>
        <a:lumOff val="25000"/>
      </a:srgbClr>
    </cs:fontRef>
    <cs:defRPr sz="1000" kern="1200"/>
  </cs:dataLabel>
  <cs:dataLabelCallout>
    <cs:lnRef idx="0"/>
    <cs:fillRef idx="0"/>
    <cs:effectRef idx="0"/>
    <cs:fontRef idx="minor">
      <a:srgbClr val="595959">
        <a:lumMod val="65000"/>
        <a:lumOff val="35000"/>
      </a:srgbClr>
    </cs:fontRef>
    <cs:spPr>
      <a:solidFill>
        <a:srgbClr val="FFFFFF"/>
      </a:solidFill>
      <a:ln>
        <a:solidFill>
          <a:srgbClr val="BFBFBF">
            <a:lumMod val="25000"/>
            <a:lumOff val="75000"/>
          </a:srgbClr>
        </a:solidFill>
      </a:ln>
    </cs:spPr>
    <cs:defRPr sz="10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rgbClr val="000000"/>
    </cs:fontRef>
  </cs:dataPoint>
  <cs:dataPoint3D>
    <cs:lnRef idx="0"/>
    <cs:fillRef idx="1">
      <cs:styleClr val="auto"/>
    </cs:fillRef>
    <cs:effectRef idx="0"/>
    <cs:fontRef idx="minor">
      <a:srgbClr val="000000"/>
    </cs:fontRef>
  </cs:dataPoint3D>
  <cs:dataPointLine>
    <cs:lnRef idx="0">
      <cs:styleClr val="auto"/>
    </cs:lnRef>
    <cs:fillRef idx="0">
      <cs:styleClr val="auto"/>
    </cs:fillRef>
    <cs:effectRef idx="0"/>
    <cs:fontRef idx="minor">
      <a:srgbClr val="000000"/>
    </cs:fontRef>
    <cs:spPr>
      <a:ln w="28575" cap="rnd">
        <a:solidFill>
          <a:srgbClr val="FFFFFF"/>
        </a:solidFill>
        <a:round/>
      </a:ln>
      <a:effectLst/>
    </cs:spPr>
  </cs:dataPointLine>
  <cs:dataPointMarker>
    <cs:lnRef idx="0">
      <cs:styleClr val="auto"/>
    </cs:lnRef>
    <cs:fillRef idx="1">
      <cs:styleClr val="auto"/>
    </cs:fillRef>
    <cs:effectRef idx="0"/>
    <cs:fontRef idx="minor">
      <a:srgbClr val="000000"/>
    </cs:fontRef>
    <cs:spPr>
      <a:ln w="9525">
        <a:solidFill>
          <a:srgbClr val="FFFFFF"/>
        </a:solidFill>
      </a:ln>
      <a:effectLst/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rgbClr val="000000"/>
    </cs:fontRef>
    <cs:spPr>
      <a:ln w="9525" cap="rnd">
        <a:solidFill>
          <a:srgbClr val="FFFFFF"/>
        </a:solidFill>
        <a:round/>
      </a:ln>
    </cs:spPr>
  </cs:dataPointWireframe>
  <cs:dataTable>
    <cs:lnRef idx="0"/>
    <cs:fillRef idx="0"/>
    <cs:effectRef idx="0"/>
    <cs:fontRef idx="minor">
      <a:srgbClr val="595959">
        <a:lumMod val="65000"/>
        <a:lumOff val="35000"/>
      </a:srgbClr>
    </cs:fontRef>
    <cs:spPr>
      <a:noFill/>
      <a:ln w="9525" cap="flat" cmpd="sng" algn="ctr">
        <a:solidFill>
          <a:srgbClr val="D9D9D9">
            <a:lumMod val="15000"/>
            <a:lumOff val="85000"/>
          </a:srgbClr>
        </a:solidFill>
        <a:round/>
      </a:ln>
    </cs:spPr>
    <cs:defRPr sz="900" kern="1200"/>
  </cs:dataTable>
  <cs:downBar>
    <cs:lnRef idx="0"/>
    <cs:fillRef idx="0"/>
    <cs:effectRef idx="0"/>
    <cs:fontRef idx="minor">
      <a:srgbClr val="000000"/>
    </cs:fontRef>
    <cs:spPr>
      <a:solidFill>
        <a:srgbClr val="595959">
          <a:lumMod val="65000"/>
          <a:lumOff val="35000"/>
        </a:srgbClr>
      </a:solidFill>
      <a:ln w="9525">
        <a:solidFill>
          <a:srgbClr val="595959">
            <a:lumMod val="65000"/>
            <a:lumOff val="35000"/>
          </a:srgbClr>
        </a:solidFill>
      </a:ln>
    </cs:spPr>
  </cs:downBar>
  <cs:dropLine>
    <cs:lnRef idx="0"/>
    <cs:fillRef idx="0"/>
    <cs:effectRef idx="0"/>
    <cs:fontRef idx="minor">
      <a:srgbClr val="000000"/>
    </cs:fontRef>
    <cs:spPr>
      <a:ln w="9525" cap="flat" cmpd="sng" algn="ctr">
        <a:solidFill>
          <a:srgbClr val="A6A6A6">
            <a:lumMod val="35000"/>
            <a:lumOff val="65000"/>
          </a:srgbClr>
        </a:solidFill>
        <a:round/>
      </a:ln>
    </cs:spPr>
  </cs:dropLine>
  <cs:errorBar>
    <cs:lnRef idx="0"/>
    <cs:fillRef idx="0"/>
    <cs:effectRef idx="0"/>
    <cs:fontRef idx="minor">
      <a:srgbClr val="000000"/>
    </cs:fontRef>
    <cs:spPr>
      <a:ln w="9525" cap="flat" cmpd="sng" algn="ctr">
        <a:solidFill>
          <a:srgbClr val="595959">
            <a:lumMod val="65000"/>
            <a:lumOff val="35000"/>
          </a:srgbClr>
        </a:solidFill>
        <a:round/>
      </a:ln>
    </cs:spPr>
  </cs:errorBar>
  <cs:floor>
    <cs:lnRef idx="0"/>
    <cs:fillRef idx="0"/>
    <cs:effectRef idx="0"/>
    <cs:fontRef idx="minor">
      <a:srgbClr val="000000"/>
    </cs:fontRef>
    <cs:spPr>
      <a:noFill/>
      <a:ln>
        <a:noFill/>
      </a:ln>
    </cs:spPr>
  </cs:floor>
  <cs:gridlineMajor>
    <cs:lnRef idx="0"/>
    <cs:fillRef idx="0"/>
    <cs:effectRef idx="0"/>
    <cs:fontRef idx="minor">
      <a:srgbClr val="000000"/>
    </cs:fontRef>
    <cs:spPr>
      <a:ln w="9525" cap="flat" cmpd="sng" algn="ctr">
        <a:solidFill>
          <a:srgbClr val="E6E6E6">
            <a:lumMod val="90200"/>
          </a:srgbClr>
        </a:solidFill>
        <a:round/>
      </a:ln>
    </cs:spPr>
  </cs:gridlineMajor>
  <cs:gridlineMinor>
    <cs:lnRef idx="0"/>
    <cs:fillRef idx="0"/>
    <cs:effectRef idx="0"/>
    <cs:fontRef idx="minor">
      <a:srgbClr val="000000"/>
    </cs:fontRef>
    <cs:spPr>
      <a:ln w="9525" cap="flat" cmpd="sng" algn="ctr">
        <a:solidFill>
          <a:srgbClr val="F2F2F2">
            <a:lumMod val="5000"/>
            <a:lumOff val="95000"/>
          </a:srgbClr>
        </a:solidFill>
        <a:round/>
      </a:ln>
    </cs:spPr>
  </cs:gridlineMinor>
  <cs:hiLoLine>
    <cs:lnRef idx="0"/>
    <cs:fillRef idx="0"/>
    <cs:effectRef idx="0"/>
    <cs:fontRef idx="minor">
      <a:srgbClr val="000000"/>
    </cs:fontRef>
    <cs:spPr>
      <a:ln w="9525" cap="flat" cmpd="sng" algn="ctr">
        <a:solidFill>
          <a:srgbClr val="404040">
            <a:lumMod val="75000"/>
            <a:lumOff val="25000"/>
          </a:srgbClr>
        </a:solidFill>
        <a:round/>
      </a:ln>
    </cs:spPr>
  </cs:hiLoLine>
  <cs:leaderLine>
    <cs:lnRef idx="0"/>
    <cs:fillRef idx="0"/>
    <cs:effectRef idx="0"/>
    <cs:fontRef idx="minor">
      <a:srgbClr val="000000"/>
    </cs:fontRef>
    <cs:spPr>
      <a:ln w="9525" cap="flat" cmpd="sng" algn="ctr">
        <a:solidFill>
          <a:srgbClr val="A6A6A6">
            <a:lumMod val="35000"/>
            <a:lumOff val="65000"/>
          </a:srgbClr>
        </a:solidFill>
        <a:round/>
      </a:ln>
    </cs:spPr>
  </cs:leaderLine>
  <cs:legend>
    <cs:lnRef idx="0"/>
    <cs:fillRef idx="0"/>
    <cs:effectRef idx="0"/>
    <cs:fontRef idx="minor">
      <a:srgbClr val="595959">
        <a:lumMod val="65000"/>
        <a:lumOff val="35000"/>
      </a:srgbClr>
    </cs:fontRef>
    <cs:defRPr sz="900" kern="1200"/>
  </cs:legend>
  <cs:plotArea mods="allowNoFillOverride allowNoLineOverride">
    <cs:lnRef idx="0"/>
    <cs:fillRef idx="0"/>
    <cs:effectRef idx="0"/>
    <cs:fontRef idx="minor">
      <a:srgbClr val="000000"/>
    </cs:fontRef>
  </cs:plotArea>
  <cs:plotArea3D mods="allowNoFillOverride allowNoLineOverride">
    <cs:lnRef idx="0"/>
    <cs:fillRef idx="0"/>
    <cs:effectRef idx="0"/>
    <cs:fontRef idx="minor">
      <a:srgbClr val="000000"/>
    </cs:fontRef>
  </cs:plotArea3D>
  <cs:seriesAxis>
    <cs:lnRef idx="0"/>
    <cs:fillRef idx="0"/>
    <cs:effectRef idx="0"/>
    <cs:fontRef idx="minor">
      <a:srgbClr val="595959">
        <a:lumMod val="65000"/>
        <a:lumOff val="35000"/>
      </a:srgbClr>
    </cs:fontRef>
    <cs:defRPr sz="900" kern="1200"/>
  </cs:seriesAxis>
  <cs:seriesLine>
    <cs:lnRef idx="0"/>
    <cs:fillRef idx="0"/>
    <cs:effectRef idx="0"/>
    <cs:fontRef idx="minor">
      <a:srgbClr val="000000"/>
    </cs:fontRef>
    <cs:spPr>
      <a:ln w="9525" cap="flat" cmpd="sng" algn="ctr">
        <a:solidFill>
          <a:srgbClr val="A6A6A6">
            <a:lumMod val="35000"/>
            <a:lumOff val="65000"/>
          </a:srgbClr>
        </a:solidFill>
        <a:round/>
      </a:ln>
    </cs:spPr>
  </cs:seriesLine>
  <cs:title>
    <cs:lnRef idx="0"/>
    <cs:fillRef idx="0"/>
    <cs:effectRef idx="0"/>
    <cs:fontRef idx="minor">
      <a:srgbClr val="404040">
        <a:lumMod val="75000"/>
        <a:lumOff val="25000"/>
      </a:srgbClr>
    </cs:fontRef>
    <cs:defRPr sz="1400" b="1" kern="1200" baseline="0"/>
  </cs:title>
  <cs:trendline>
    <cs:lnRef idx="0">
      <cs:styleClr val="auto"/>
    </cs:lnRef>
    <cs:fillRef idx="0"/>
    <cs:effectRef idx="0"/>
    <cs:fontRef idx="minor">
      <a:srgbClr val="000000"/>
    </cs:fontRef>
    <cs:spPr>
      <a:ln w="19050" cap="rnd">
        <a:solidFill>
          <a:srgbClr val="FFFFFF"/>
        </a:solidFill>
        <a:prstDash val="sysDot"/>
      </a:ln>
    </cs:spPr>
  </cs:trendline>
  <cs:trendlineLabel>
    <cs:lnRef idx="0"/>
    <cs:fillRef idx="0"/>
    <cs:effectRef idx="0"/>
    <cs:fontRef idx="minor">
      <a:srgbClr val="595959">
        <a:lumMod val="65000"/>
        <a:lumOff val="35000"/>
      </a:srgbClr>
    </cs:fontRef>
    <cs:defRPr sz="900" kern="1200"/>
  </cs:trendlineLabel>
  <cs:upBar>
    <cs:lnRef idx="0"/>
    <cs:fillRef idx="0"/>
    <cs:effectRef idx="0"/>
    <cs:fontRef idx="minor">
      <a:srgbClr val="000000"/>
    </cs:fontRef>
    <cs:spPr>
      <a:solidFill>
        <a:srgbClr val="FFFFFF"/>
      </a:solidFill>
      <a:ln w="9525">
        <a:solidFill>
          <a:srgbClr val="D9D9D9">
            <a:lumMod val="15000"/>
            <a:lumOff val="85000"/>
          </a:srgbClr>
        </a:solidFill>
      </a:ln>
    </cs:spPr>
  </cs:upBar>
  <cs:valueAxis>
    <cs:lnRef idx="0"/>
    <cs:fillRef idx="0"/>
    <cs:effectRef idx="0"/>
    <cs:fontRef idx="minor">
      <a:srgbClr val="595959">
        <a:lumMod val="65000"/>
        <a:lumOff val="35000"/>
      </a:srgbClr>
    </cs:fontRef>
    <cs:defRPr sz="900" kern="1200"/>
  </cs:valueAxis>
  <cs:wall>
    <cs:lnRef idx="0"/>
    <cs:fillRef idx="0"/>
    <cs:effectRef idx="0"/>
    <cs:fontRef idx="minor">
      <a:srgbClr val="000000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  <extobjs>
    <extobj name="F35B0BEE-F18A-47BB-8FCB-E00DA2F2635D-1">
      <extobjdata type="F35B0BEE-F18A-47BB-8FCB-E00DA2F2635D" data="ewoJIkRlc2lnbklkIiA6ICJiZmFiODVjYy05ZWJmLTRjNGQtYTY2Yi1jZDNkMTMxNGUxNzYiCn0K"/>
    </extobj>
  </extobjs>
</s:customData>
</file>

<file path=customXml/item2.xml><?xml version="1.0" encoding="utf-8"?>
<contractReview xmlns="http://schemas.wps.cn/vas-ai-hub/contract-review">
  <reviewItems>
    <reviewItem>
      <errorID>20468679-4c43-4a7e-bff8-b0f60d699d41</errorID>
      <errorWord>学校办学特色</errorWord>
      <group>L1_Word</group>
      <groupName>字词问题</groupName>
      <ability>L2_Typo</ability>
      <abilityName>字词错误</abilityName>
      <candidateList>
        <item>办学特色</item>
      </candidateList>
      <explain/>
      <paraID>20E5309A</paraID>
      <start>73</start>
      <end>79</end>
      <status>ignored</status>
      <modifiedWord/>
      <trackRevisions>false</trackRevisions>
    </reviewItem>
    <reviewItem>
      <errorID>19f657fb-da84-49bd-a6bb-9ad131fe3952</errorID>
      <errorWord>学校办学特色</errorWord>
      <group>L1_Word</group>
      <groupName>字词问题</groupName>
      <ability>L2_Typo</ability>
      <abilityName>字词错误</abilityName>
      <candidateList>
        <item>办学特色</item>
      </candidateList>
      <explain/>
      <paraID>363F16EF</paraID>
      <start>132</start>
      <end>138</end>
      <status>ignored</status>
      <modifiedWord/>
      <trackRevisions>false</trackRevisions>
    </reviewItem>
    <reviewItem>
      <errorID>3b090c31-ddc7-4904-88d7-0940a8a62a49</errorID>
      <errorWord>学生装</errorWord>
      <group>L1_AI</group>
      <groupName>深度校对</groupName>
      <ability>L2_AI_Word</ability>
      <abilityName>字词纠错</abilityName>
      <candidateList>
        <item>学生装订</item>
      </candidateList>
      <explain/>
      <paraID>133FF385</paraID>
      <start>5</start>
      <end>8</end>
      <status>ignored</status>
      <modifiedWord/>
      <trackRevisions>false</trackRevisions>
    </reviewItem>
    <reviewItem>
      <errorID>80b3725a-2c9d-457f-abc9-54fc86ac113a</errorID>
      <errorWord>详实</errorWord>
      <group>L1_Word</group>
      <groupName>字词问题</groupName>
      <ability>L2_Typo</ability>
      <abilityName>字词错误</abilityName>
      <candidateList>
        <item>翔实</item>
      </candidateList>
      <explain/>
      <paraID>55C92BA3</paraID>
      <start>148</start>
      <end>150</end>
      <status>ignored</status>
      <modifiedWord/>
      <trackRevisions>false</trackRevisions>
    </reviewItem>
    <reviewItem>
      <errorID>70e5352c-c37b-4525-b8c6-2b8b0f19d141</errorID>
      <errorWord>：</errorWord>
      <group>L1_AI</group>
      <groupName>深度校对</groupName>
      <ability>L2_AI_Punc</ability>
      <abilityName>标点纠错</abilityName>
      <candidateList>
        <item>，</item>
      </candidateList>
      <explain/>
      <paraID>55D5F4B8</paraID>
      <start>41</start>
      <end>42</end>
      <status>ignored</status>
      <modifiedWord/>
      <trackRevisions>false</trackRevisions>
    </reviewItem>
    <reviewItem>
      <errorID>5752a4b9-18be-4a75-968c-35e6865450a2</errorID>
      <errorWord>(一)</errorWord>
      <group>L1_Format</group>
      <groupName>格式问题</groupName>
      <ability>L2_Ordinal</ability>
      <abilityName>序号格式</abilityName>
      <candidateList>
        <item>（一）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4EB45658</paraID>
      <start>0</start>
      <end>3</end>
      <status>ignored</status>
      <modifiedWord/>
      <trackRevisions>false</trackRevisions>
    </reviewItem>
    <reviewItem>
      <errorID>249b737b-49be-4ad2-8fab-812aa9d62120</errorID>
      <errorWord>，</errorWord>
      <group>L1_AI</group>
      <groupName>深度校对</groupName>
      <ability>L2_AI_Word</ability>
      <abilityName>字词纠错</abilityName>
      <candidateList>
        <item>人，</item>
      </candidateList>
      <explain/>
      <paraID>260E522C</paraID>
      <start>25</start>
      <end>26</end>
      <status>ignored</status>
      <modifiedWord/>
      <trackRevisions>false</trackRevisions>
    </reviewItem>
    <reviewItem>
      <errorID>2a039194-eee5-41a3-a5fe-d3c530716640</errorID>
      <errorWord>，</errorWord>
      <group>L1_AI</group>
      <groupName>深度校对</groupName>
      <ability>L2_AI_Word</ability>
      <abilityName>字词纠错</abilityName>
      <candidateList>
        <item>人，</item>
      </candidateList>
      <explain/>
      <paraID>260E522C</paraID>
      <start>36</start>
      <end>37</end>
      <status>ignored</status>
      <modifiedWord/>
      <trackRevisions>false</trackRevisions>
    </reviewItem>
    <reviewItem>
      <errorID>bf6e842a-d382-4ed0-bbb4-835b26d12faa</errorID>
      <errorWord>，</errorWord>
      <group>L1_AI</group>
      <groupName>深度校对</groupName>
      <ability>L2_AI_Word</ability>
      <abilityName>字词纠错</abilityName>
      <candidateList>
        <item>人，</item>
      </candidateList>
      <explain/>
      <paraID>260E522C</paraID>
      <start>61</start>
      <end>62</end>
      <status>ignored</status>
      <modifiedWord/>
      <trackRevisions>false</trackRevisions>
    </reviewItem>
    <reviewItem>
      <errorID>5a60d8b8-ce65-49b3-a73d-94deada28fa4</errorID>
      <errorWord>，</errorWord>
      <group>L1_AI</group>
      <groupName>深度校对</groupName>
      <ability>L2_AI_Word</ability>
      <abilityName>字词纠错</abilityName>
      <candidateList>
        <item>人，</item>
      </candidateList>
      <explain/>
      <paraID>260E522C</paraID>
      <start>72</start>
      <end>73</end>
      <status>ignored</status>
      <modifiedWord/>
      <trackRevisions>false</trackRevisions>
    </reviewItem>
    <reviewItem>
      <errorID>ddef3607-9b68-4008-9e59-a2d146bc69c2</errorID>
      <errorWord>同比去年</errorWord>
      <group>L1_Word</group>
      <groupName>字词问题</groupName>
      <ability>L2_Typo</ability>
      <abilityName>字词错误</abilityName>
      <candidateList>
        <item>同比</item>
      </candidateList>
      <explain/>
      <paraID>260E522C</paraID>
      <start>131</start>
      <end>135</end>
      <status>ignored</status>
      <modifiedWord/>
      <trackRevisions>false</trackRevisions>
    </reviewItem>
    <reviewItem>
      <errorID>0ba4074c-f437-45c4-9d58-ba159158785e</errorID>
      <errorWord>截止至</errorWord>
      <group>L1_AI</group>
      <groupName>深度校对</groupName>
      <ability>L2_AI_Word</ability>
      <abilityName>字词纠错</abilityName>
      <candidateList>
        <item>截至</item>
      </candidateList>
      <explain/>
      <paraID>420A8D90</paraID>
      <start>27</start>
      <end>30</end>
      <status>ignored</status>
      <modifiedWord/>
      <trackRevisions>false</trackRevisions>
    </reviewItem>
    <reviewItem>
      <errorID>d4a96d3b-88aa-4f8a-b4d6-f33e0fd33977</errorID>
      <errorWord>%</errorWord>
      <group>L1_AI</group>
      <groupName>深度校对</groupName>
      <ability>L2_AI_Punc</ability>
      <abilityName>标点纠错</abilityName>
      <candidateList>
        <item/>
      </candidateList>
      <explain/>
      <paraID>420A8D90</paraID>
      <start>79</start>
      <end>80</end>
      <status>ignored</status>
      <modifiedWord/>
      <trackRevisions>false</trackRevisions>
    </reviewItem>
    <reviewItem>
      <errorID>ec9380b6-d193-408c-87c2-defbb4025d11</errorID>
      <errorWord>同比去年</errorWord>
      <group>L1_Word</group>
      <groupName>字词问题</groupName>
      <ability>L2_Typo</ability>
      <abilityName>字词错误</abilityName>
      <candidateList>
        <item>同比</item>
      </candidateList>
      <explain/>
      <paraID>420A8D90</paraID>
      <start>82</start>
      <end>86</end>
      <status>ignored</status>
      <modifiedWord/>
      <trackRevisions>false</trackRevisions>
    </reviewItem>
    <reviewItem>
      <errorID>203d6749-33c1-4ff2-89fb-c46027da90a3</errorID>
      <errorWord>工程技术</errorWord>
      <group>L1_AI</group>
      <groupName>深度校对</groupName>
      <ability>L2_AI_Word</ability>
      <abilityName>字词纠错</abilityName>
      <candidateList>
        <item>在工程技术</item>
      </candidateList>
      <explain/>
      <paraID>420A8D90</paraID>
      <start>96</start>
      <end>100</end>
      <status>ignored</status>
      <modifiedWord/>
      <trackRevisions>false</trackRevisions>
    </reviewItem>
    <reviewItem>
      <errorID>0bbf394f-df0e-4f16-8901-2af5b2a8df33</errorID>
      <errorWord>专接本</errorWord>
      <group>L1_Word</group>
      <groupName>字词问题</groupName>
      <ability>L2_Typo</ability>
      <abilityName>字词错误</abilityName>
      <candidateList>
        <item>专升本</item>
      </candidateList>
      <explain/>
      <paraID>44F3CA65</paraID>
      <start>67</start>
      <end>70</end>
      <status>ignored</status>
      <modifiedWord/>
      <trackRevisions>false</trackRevisions>
    </reviewItem>
    <reviewItem>
      <errorID>c284bdc4-8dc8-4565-8b62-3ffb8528212a</errorID>
      <errorWord> </errorWord>
      <group>L1_AI</group>
      <groupName>深度校对</groupName>
      <ability>L2_AI_Punc</ability>
      <abilityName>标点纠错</abilityName>
      <candidateList>
        <item/>
      </candidateList>
      <explain>此处空格冗余，建议删除。</explain>
      <paraID>44F3CA65</paraID>
      <start>72</start>
      <end>72</end>
      <status>modified</status>
      <modifiedWord/>
      <trackRevisions>false</trackRevisions>
    </reviewItem>
    <reviewItem>
      <errorID>da4a79cd-78fb-41af-8e83-e5eaaf1b9d31</errorID>
      <errorWord>13人，应征义务兵47</errorWord>
      <group>L1_AI</group>
      <groupName>深度校对</groupName>
      <ability>L2_AI_Grammar</ability>
      <abilityName>语法纠错</abilityName>
      <candidateList>
        <item>13</item>
      </candidateList>
      <explain/>
      <paraID>44F3CA65</paraID>
      <start>89</start>
      <end>100</end>
      <status>ignored</status>
      <modifiedWord/>
      <trackRevisions>false</trackRevisions>
    </reviewItem>
    <reviewItem>
      <errorID>c9899d0f-0293-4816-baeb-43292cd6da04</errorID>
      <errorWord>，</errorWord>
      <group>L1_AI</group>
      <groupName>深度校对</groupName>
      <ability>L2_AI_Punc</ability>
      <abilityName>标点纠错</abilityName>
      <candidateList>
        <item>；</item>
      </candidateList>
      <explain/>
      <paraID>44F3CA65</paraID>
      <start>155</start>
      <end>156</end>
      <status>modified</status>
      <modifiedWord>；</modifiedWord>
      <trackRevisions>false</trackRevisions>
    </reviewItem>
    <reviewItem>
      <errorID>ab49c861-86d5-43d9-abc4-2877bcba3994</errorID>
      <errorWord>较2024届比人数</errorWord>
      <group>L1_AI</group>
      <groupName>深度校对</groupName>
      <ability>L2_AI_Word</ability>
      <abilityName>字词纠错</abilityName>
      <candidateList>
        <item>人数较2024届</item>
      </candidateList>
      <explain/>
      <paraID>44F3CA65</paraID>
      <start>160</start>
      <end>169</end>
      <status>ignored</status>
      <modifiedWord/>
      <trackRevisions>false</trackRevisions>
    </reviewItem>
    <reviewItem>
      <errorID>8e791c6b-b78d-407c-97c7-025128e51e93</errorID>
      <errorWord>，</errorWord>
      <group>L1_AI</group>
      <groupName>深度校对</groupName>
      <ability>L2_AI_Punc</ability>
      <abilityName>标点纠错</abilityName>
      <candidateList>
        <item>。</item>
      </candidateList>
      <explain/>
      <paraID>44F3CA65</paraID>
      <start>175</start>
      <end>176</end>
      <status>ignored</status>
      <modifiedWord/>
      <trackRevisions>false</trackRevisions>
    </reviewItem>
    <reviewItem>
      <errorID>c391eeb4-c12d-4f57-a2bf-ffceb827caed</errorID>
      <errorWord>毕业生</errorWord>
      <group>L1_AI</group>
      <groupName>深度校对</groupName>
      <ability>L2_AI_Punc</ability>
      <abilityName>标点纠错</abilityName>
      <candidateList>
        <item>，毕业生</item>
      </candidateList>
      <explain/>
      <paraID>44F3CA65</paraID>
      <start>180</start>
      <end>183</end>
      <status>ignored</status>
      <modifiedWord/>
      <trackRevisions>false</trackRevisions>
    </reviewItem>
    <reviewItem>
      <errorID>319df1a6-0b3e-46bb-a0ca-1b01c2204bec</errorID>
      <errorWord>也</errorWord>
      <group>L1_AI</group>
      <groupName>深度校对</groupName>
      <ability>L2_AI_Word</ability>
      <abilityName>字词纠错</abilityName>
      <candidateList>
        <item>这也</item>
      </candidateList>
      <explain/>
      <paraID>44F3CA65</paraID>
      <start>212</start>
      <end>214</end>
      <status>modified</status>
      <modifiedWord>这也</modifiedWord>
      <trackRevisions>false</trackRevisions>
    </reviewItem>
    <reviewItem>
      <errorID>e6ecff8e-6c9a-47ae-ad1f-e6c8dcd60fea</errorID>
      <errorWord>、也</errorWord>
      <group>L1_Punc</group>
      <groupName>标点问题</groupName>
      <ability>L2_Punc</ability>
      <abilityName>标点符号检查</abilityName>
      <candidateList>
        <item>，也</item>
      </candidateList>
      <explain>连接词前后不宜使用顿号，建议使用逗号。</explain>
      <paraID>755C9461</paraID>
      <start>119</start>
      <end>121</end>
      <status>modified</status>
      <modifiedWord>，也</modifiedWord>
      <trackRevisions>false</trackRevisions>
    </reviewItem>
    <reviewItem>
      <errorID>18283cd4-1daf-44ba-9ce8-569ee32364c4</errorID>
      <errorWord>详实</errorWord>
      <group>L1_Word</group>
      <groupName>字词问题</groupName>
      <ability>L2_Typo</ability>
      <abilityName>字词错误</abilityName>
      <candidateList>
        <item>翔实</item>
      </candidateList>
      <explain/>
      <paraID>68FB537F</paraID>
      <start>169</start>
      <end>171</end>
      <status>ignored</status>
      <modifiedWord/>
      <trackRevisions>false</trackRevisions>
    </reviewItem>
    <reviewItem>
      <errorID>e7754c69-04ee-4216-a848-0f36569b6b68</errorID>
      <errorWord>详实</errorWord>
      <group>L1_Word</group>
      <groupName>字词问题</groupName>
      <ability>L2_Typo</ability>
      <abilityName>字词错误</abilityName>
      <candidateList>
        <item>翔实</item>
      </candidateList>
      <explain/>
      <paraID>68FB537F</paraID>
      <start>190</start>
      <end>192</end>
      <status>ignored</status>
      <modifiedWord/>
      <trackRevisions>false</trackRevisions>
    </reviewItem>
    <reviewItem>
      <errorID>fd619464-fa58-4d6d-9045-012ea06865da</errorID>
      <errorWord>同</errorWord>
      <group>L1_Word</group>
      <groupName>字词问题</groupName>
      <ability>L2_Typo</ability>
      <abilityName>字词错误</abilityName>
      <candidateList>
        <item>同时</item>
      </candidateList>
      <explain>❶〈名〉同一个时候：他们俩是～复员的｜在抓紧工程进度的～，必须注意工程质量。❷〈连〉表示并列关系，常含有进一层的意味：这是非常重要的任务，～也是十分艰巨的任务。</explain>
      <paraID>5CE6F868</paraID>
      <start>109</start>
      <end>111</end>
      <status>modified</status>
      <modifiedWord>同时</modifiedWord>
      <trackRevisions>false</trackRevisions>
    </reviewItem>
    <reviewItem>
      <errorID>0d8eb346-7367-4d81-b047-2751432f6fa1</errorID>
      <errorWord>的</errorWord>
      <group>L1_Word</group>
      <groupName>字词问题</groupName>
      <ability>L2_DDD</ability>
      <abilityName>的地得用法</abilityName>
      <candidateList>
        <item>地</item>
      </candidateList>
      <explain>“地”常用于连接修饰语与动词性中心语，表示动作的方式、状态或程度。</explain>
      <paraID>5CE6F868</paraID>
      <start>281</start>
      <end>282</end>
      <status>modified</status>
      <modifiedWord>地</modifiedWord>
      <trackRevisions>false</trackRevisions>
    </reviewItem>
    <reviewItem>
      <errorID>cb446e89-b18b-4c0f-bbd3-8c105d625f40</errorID>
      <errorWord>学生和</errorWord>
      <group>L1_Word</group>
      <groupName>字词问题</groupName>
      <ability>L2_Typo</ability>
      <abilityName>字词错误</abilityName>
      <candidateList>
        <item>学生</item>
      </candidateList>
      <explain/>
      <paraID>5CE6F868</paraID>
      <start>360</start>
      <end>362</end>
      <status>modified</status>
      <modifiedWord>学生</modifiedWord>
      <trackRevisions>false</trackRevisions>
    </reviewItem>
    <reviewItem>
      <errorID>9bc109d0-614d-448b-8266-c60ec49daf7d</errorID>
      <errorWord>资</errorWord>
      <group>L1_Word</group>
      <groupName>字词问题</groupName>
      <ability>L2_Typo</ability>
      <abilityName>字词错误</abilityName>
      <candidateList>
        <item>资源</item>
      </candidateList>
      <explain>〈名〉生产资料或生活资料的天然来源：地下～｜水力～｜旅游～。</explain>
      <paraID>386078B2</paraID>
      <start>260</start>
      <end>262</end>
      <status>modified</status>
      <modifiedWord>资源</modifiedWord>
      <trackRevisions>false</trackRevisions>
    </reviewItem>
    <reviewItem>
      <errorID>811ddc9e-5e5d-41ac-a2f1-ae7317ce2c52</errorID>
      <errorWord>奖奖</errorWord>
      <group>L1_Word</group>
      <groupName>字词问题</groupName>
      <ability>L2_Typo</ability>
      <abilityName>字词错误</abilityName>
      <candidateList>
        <item>奖</item>
      </candidateList>
      <explain/>
      <paraID>2D0347FA</paraID>
      <start>12</start>
      <end>13</end>
      <status>modified</status>
      <modifiedWord>奖</modifiedWord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e0f6863-2578-44ae-849e-0ce82b967b00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48</Pages>
  <Words>3493</Words>
  <Characters>4651</Characters>
  <Lines>1</Lines>
  <Paragraphs>1</Paragraphs>
  <TotalTime>14</TotalTime>
  <ScaleCrop>false</ScaleCrop>
  <LinksUpToDate>false</LinksUpToDate>
  <CharactersWithSpaces>4805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2025-12-18T07:09:00Z</dcterms:created>
  <dc:creator>简单点</dc:creator>
  <cp:lastModifiedBy>X</cp:lastModifiedBy>
  <dcterms:modified xsi:type="dcterms:W3CDTF">2026-03-30T01:07:12Z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A7D05E5597764ACAB9583531CA8CD356_13</vt:lpwstr>
  </property>
  <property fmtid="{D5CDD505-2E9C-101B-9397-08002B2CF9AE}" pid="4" name="KSOTemplateDocerSaveRecord">
    <vt:lpwstr>eyJoZGlkIjoiNThjZmFmMTcxZGYzNzNmZGQ1ODBlODY4YTJjNTRlOTYiLCJ1c2VySWQiOiIxMjAyNDMzOTc3In0=</vt:lpwstr>
  </property>
</Properties>
</file>